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D1C9D" w14:textId="706E2AC9" w:rsidR="00A51AE5" w:rsidRPr="001A6340" w:rsidRDefault="00A51AE5" w:rsidP="00A51AE5">
      <w:pPr>
        <w:pStyle w:val="Heading1"/>
        <w:jc w:val="center"/>
        <w:rPr>
          <w:sz w:val="24"/>
          <w:szCs w:val="24"/>
        </w:rPr>
      </w:pPr>
      <w:bookmarkStart w:id="0" w:name="_Toc72313305"/>
      <w:r w:rsidRPr="001A6340">
        <w:rPr>
          <w:sz w:val="24"/>
          <w:szCs w:val="24"/>
        </w:rPr>
        <w:t>PARTIE II</w:t>
      </w:r>
      <w:bookmarkEnd w:id="0"/>
    </w:p>
    <w:p w14:paraId="26EFA4EE" w14:textId="77777777" w:rsidR="00A51AE5" w:rsidRPr="001A6340" w:rsidRDefault="00A51AE5" w:rsidP="00A51AE5">
      <w:pPr>
        <w:rPr>
          <w:rFonts w:cs="Arial"/>
          <w:b/>
          <w:sz w:val="24"/>
          <w:lang w:val="fr-CA"/>
        </w:rPr>
      </w:pPr>
    </w:p>
    <w:p w14:paraId="5296F588" w14:textId="77777777" w:rsidR="00A51AE5" w:rsidRPr="001A6340" w:rsidRDefault="00A51AE5" w:rsidP="00A51AE5">
      <w:pPr>
        <w:rPr>
          <w:b/>
          <w:sz w:val="24"/>
          <w:lang w:val="fr-CA"/>
        </w:rPr>
      </w:pPr>
      <w:r w:rsidRPr="001A6340">
        <w:rPr>
          <w:b/>
          <w:sz w:val="24"/>
          <w:lang w:val="fr-CA"/>
        </w:rPr>
        <w:t>RÈGLE 26</w:t>
      </w:r>
    </w:p>
    <w:p w14:paraId="04564FA8" w14:textId="77777777" w:rsidR="00A51AE5" w:rsidRPr="001A6340" w:rsidRDefault="00A51AE5" w:rsidP="00A51AE5">
      <w:pPr>
        <w:pStyle w:val="Heading2"/>
        <w:rPr>
          <w:sz w:val="24"/>
          <w:szCs w:val="24"/>
        </w:rPr>
      </w:pPr>
      <w:bookmarkStart w:id="1" w:name="_Toc508091654"/>
      <w:bookmarkStart w:id="2" w:name="_Toc72313306"/>
      <w:r w:rsidRPr="001A6340">
        <w:rPr>
          <w:sz w:val="24"/>
          <w:szCs w:val="24"/>
        </w:rPr>
        <w:t>INSTANCES D’EXPROPRIATION</w:t>
      </w:r>
      <w:bookmarkEnd w:id="1"/>
      <w:bookmarkEnd w:id="2"/>
    </w:p>
    <w:p w14:paraId="7E3A8D0F" w14:textId="77777777" w:rsidR="00A51AE5" w:rsidRPr="001A6340" w:rsidRDefault="00A51AE5" w:rsidP="00A51AE5">
      <w:pPr>
        <w:rPr>
          <w:rFonts w:cs="Arial"/>
          <w:b/>
          <w:bCs/>
          <w:sz w:val="24"/>
          <w:lang w:val="fr-CA"/>
        </w:rPr>
      </w:pPr>
    </w:p>
    <w:p w14:paraId="27427F06" w14:textId="77777777" w:rsidR="00A51AE5" w:rsidRPr="001A6340" w:rsidRDefault="00A51AE5" w:rsidP="00A51AE5">
      <w:pPr>
        <w:rPr>
          <w:rFonts w:cs="Arial"/>
          <w:sz w:val="24"/>
          <w:lang w:val="fr-CA"/>
        </w:rPr>
      </w:pPr>
      <w:r w:rsidRPr="001A6340">
        <w:rPr>
          <w:rFonts w:cs="Arial"/>
          <w:b/>
          <w:bCs/>
          <w:sz w:val="24"/>
          <w:lang w:val="fr-CA"/>
        </w:rPr>
        <w:t>26.1</w:t>
      </w:r>
      <w:r w:rsidRPr="001A6340">
        <w:rPr>
          <w:rFonts w:cs="Arial"/>
          <w:b/>
          <w:bCs/>
          <w:sz w:val="24"/>
          <w:lang w:val="fr-CA"/>
        </w:rPr>
        <w:tab/>
      </w:r>
      <w:r w:rsidRPr="001A6340">
        <w:rPr>
          <w:rFonts w:cs="Arial"/>
          <w:b/>
          <w:bCs/>
          <w:sz w:val="24"/>
          <w:u w:val="single"/>
          <w:lang w:val="fr-CA"/>
        </w:rPr>
        <w:t xml:space="preserve">Champ d’application de la </w:t>
      </w:r>
      <w:proofErr w:type="gramStart"/>
      <w:r w:rsidRPr="001A6340">
        <w:rPr>
          <w:rFonts w:cs="Arial"/>
          <w:b/>
          <w:bCs/>
          <w:sz w:val="24"/>
          <w:u w:val="single"/>
          <w:lang w:val="fr-CA"/>
        </w:rPr>
        <w:t>règle</w:t>
      </w:r>
      <w:r w:rsidRPr="001A6340">
        <w:rPr>
          <w:rFonts w:cs="Arial"/>
          <w:sz w:val="24"/>
          <w:lang w:val="fr-CA"/>
        </w:rPr>
        <w:t xml:space="preserve">  Cette</w:t>
      </w:r>
      <w:proofErr w:type="gramEnd"/>
      <w:r w:rsidRPr="001A6340">
        <w:rPr>
          <w:rFonts w:cs="Arial"/>
          <w:sz w:val="24"/>
          <w:lang w:val="fr-CA"/>
        </w:rPr>
        <w:t xml:space="preserve"> règle s’applique aux instances dont le Tribunal est saisi aux termes de la </w:t>
      </w:r>
      <w:r w:rsidRPr="001A6340">
        <w:rPr>
          <w:rFonts w:cs="Arial"/>
          <w:i/>
          <w:iCs/>
          <w:sz w:val="24"/>
          <w:lang w:val="fr-CA"/>
        </w:rPr>
        <w:t>Loi sur l’expropriation.</w:t>
      </w:r>
    </w:p>
    <w:p w14:paraId="3D0FC559" w14:textId="77777777" w:rsidR="00A51AE5" w:rsidRPr="001A6340" w:rsidRDefault="00A51AE5" w:rsidP="00A51AE5">
      <w:pPr>
        <w:rPr>
          <w:rFonts w:cs="Arial"/>
          <w:sz w:val="24"/>
          <w:lang w:val="fr-CA"/>
        </w:rPr>
      </w:pPr>
    </w:p>
    <w:p w14:paraId="6FB1843C" w14:textId="513A36C1" w:rsidR="00786B25" w:rsidRPr="001A6340" w:rsidRDefault="00A51AE5" w:rsidP="00A51AE5">
      <w:pPr>
        <w:rPr>
          <w:rFonts w:cs="Arial"/>
          <w:sz w:val="24"/>
          <w:lang w:val="fr-CA"/>
        </w:rPr>
      </w:pPr>
      <w:r w:rsidRPr="001A6340">
        <w:rPr>
          <w:rFonts w:cs="Arial"/>
          <w:b/>
          <w:bCs/>
          <w:sz w:val="24"/>
          <w:lang w:val="fr-CA"/>
        </w:rPr>
        <w:t>26.2</w:t>
      </w:r>
      <w:r w:rsidRPr="001A6340">
        <w:rPr>
          <w:rFonts w:cs="Arial"/>
          <w:b/>
          <w:bCs/>
          <w:sz w:val="24"/>
          <w:lang w:val="fr-CA"/>
        </w:rPr>
        <w:tab/>
      </w:r>
      <w:r w:rsidR="00786B25" w:rsidRPr="001A6340">
        <w:rPr>
          <w:rFonts w:cs="Arial"/>
          <w:b/>
          <w:bCs/>
          <w:sz w:val="24"/>
          <w:lang w:val="fr-CA"/>
        </w:rPr>
        <w:t xml:space="preserve">Application de la partie I des Règles </w:t>
      </w:r>
      <w:r w:rsidR="00786B25" w:rsidRPr="001A6340">
        <w:rPr>
          <w:rFonts w:cs="Arial"/>
          <w:sz w:val="24"/>
          <w:lang w:val="fr-CA"/>
        </w:rPr>
        <w:t>La partie I des Règles s’applique avec les modifications nécessaires.</w:t>
      </w:r>
    </w:p>
    <w:p w14:paraId="4F088538" w14:textId="77777777" w:rsidR="00786B25" w:rsidRPr="001A6340" w:rsidRDefault="00786B25" w:rsidP="00A51AE5">
      <w:pPr>
        <w:rPr>
          <w:rFonts w:cs="Arial"/>
          <w:b/>
          <w:bCs/>
          <w:sz w:val="24"/>
          <w:lang w:val="fr-CA"/>
        </w:rPr>
      </w:pPr>
    </w:p>
    <w:p w14:paraId="045A0884" w14:textId="2F5872D2" w:rsidR="00786B25" w:rsidRPr="001A6340" w:rsidRDefault="00786B25" w:rsidP="00A51AE5">
      <w:pPr>
        <w:rPr>
          <w:rFonts w:cs="Arial"/>
          <w:sz w:val="24"/>
          <w:lang w:val="fr-CA"/>
        </w:rPr>
      </w:pPr>
      <w:r w:rsidRPr="001A6340">
        <w:rPr>
          <w:rFonts w:cs="Arial"/>
          <w:b/>
          <w:bCs/>
          <w:sz w:val="24"/>
          <w:lang w:val="fr-CA"/>
        </w:rPr>
        <w:t>26.3</w:t>
      </w:r>
      <w:r w:rsidRPr="001A6340">
        <w:rPr>
          <w:rFonts w:cs="Arial"/>
          <w:b/>
          <w:bCs/>
          <w:sz w:val="24"/>
          <w:lang w:val="fr-CA"/>
        </w:rPr>
        <w:tab/>
      </w:r>
      <w:r w:rsidRPr="001A6340">
        <w:rPr>
          <w:rFonts w:cs="Arial"/>
          <w:b/>
          <w:bCs/>
          <w:i/>
          <w:iCs/>
          <w:sz w:val="24"/>
          <w:lang w:val="fr-CA"/>
        </w:rPr>
        <w:t>Règles de procédure civile</w:t>
      </w:r>
      <w:r w:rsidRPr="001A6340">
        <w:rPr>
          <w:rFonts w:cs="Arial"/>
          <w:b/>
          <w:bCs/>
          <w:sz w:val="24"/>
          <w:lang w:val="fr-CA"/>
        </w:rPr>
        <w:t xml:space="preserve"> </w:t>
      </w:r>
      <w:r w:rsidRPr="001A6340">
        <w:rPr>
          <w:rFonts w:cs="Arial"/>
          <w:sz w:val="24"/>
          <w:lang w:val="fr-CA"/>
        </w:rPr>
        <w:t xml:space="preserve">Sous réserve du pouvoir discrétionnaire du Tribunal en vertu des règles 1.4 et 1.6, les </w:t>
      </w:r>
      <w:r w:rsidRPr="001A6340">
        <w:rPr>
          <w:rFonts w:cs="Arial"/>
          <w:i/>
          <w:iCs/>
          <w:sz w:val="24"/>
          <w:lang w:val="fr-CA"/>
        </w:rPr>
        <w:t>Règles de procédure civile</w:t>
      </w:r>
      <w:r w:rsidRPr="001A6340">
        <w:rPr>
          <w:rFonts w:cs="Arial"/>
          <w:sz w:val="24"/>
          <w:lang w:val="fr-CA"/>
        </w:rPr>
        <w:t xml:space="preserve"> s’appliquent aux instances dont le Tribunal est saisi aux termes de la </w:t>
      </w:r>
      <w:r w:rsidRPr="001A6340">
        <w:rPr>
          <w:rFonts w:cs="Arial"/>
          <w:i/>
          <w:iCs/>
          <w:sz w:val="24"/>
          <w:lang w:val="fr-CA"/>
        </w:rPr>
        <w:t>Loi sur l’expropriation</w:t>
      </w:r>
      <w:r w:rsidRPr="001A6340">
        <w:rPr>
          <w:rFonts w:cs="Arial"/>
          <w:sz w:val="24"/>
          <w:lang w:val="fr-CA"/>
        </w:rPr>
        <w:t>, si les Règles ne prévoient pas une procédure.</w:t>
      </w:r>
    </w:p>
    <w:p w14:paraId="26EA17B7" w14:textId="77777777" w:rsidR="00786B25" w:rsidRPr="001A6340" w:rsidRDefault="00786B25" w:rsidP="00A51AE5">
      <w:pPr>
        <w:rPr>
          <w:rFonts w:cs="Arial"/>
          <w:b/>
          <w:bCs/>
          <w:sz w:val="24"/>
          <w:lang w:val="fr-CA"/>
        </w:rPr>
      </w:pPr>
    </w:p>
    <w:p w14:paraId="2112BBB4" w14:textId="7406A00F" w:rsidR="00A51AE5" w:rsidRPr="001A6340" w:rsidRDefault="00786B25" w:rsidP="00A51AE5">
      <w:pPr>
        <w:rPr>
          <w:rFonts w:cs="Arial"/>
          <w:sz w:val="24"/>
          <w:lang w:val="fr-CA"/>
        </w:rPr>
      </w:pPr>
      <w:r w:rsidRPr="001A6340">
        <w:rPr>
          <w:rFonts w:cs="Arial"/>
          <w:b/>
          <w:bCs/>
          <w:sz w:val="24"/>
          <w:u w:val="single"/>
          <w:lang w:val="fr-CA"/>
        </w:rPr>
        <w:t xml:space="preserve">26.4 </w:t>
      </w:r>
      <w:r w:rsidRPr="001A6340">
        <w:rPr>
          <w:rFonts w:cs="Arial"/>
          <w:b/>
          <w:bCs/>
          <w:sz w:val="24"/>
          <w:u w:val="single"/>
          <w:lang w:val="fr-CA"/>
        </w:rPr>
        <w:tab/>
      </w:r>
      <w:r w:rsidR="00A51AE5" w:rsidRPr="001A6340">
        <w:rPr>
          <w:rFonts w:cs="Arial"/>
          <w:b/>
          <w:bCs/>
          <w:sz w:val="24"/>
          <w:u w:val="single"/>
          <w:lang w:val="fr-CA"/>
        </w:rPr>
        <w:t xml:space="preserve">Autres </w:t>
      </w:r>
      <w:proofErr w:type="gramStart"/>
      <w:r w:rsidR="00A51AE5" w:rsidRPr="001A6340">
        <w:rPr>
          <w:rFonts w:cs="Arial"/>
          <w:b/>
          <w:bCs/>
          <w:sz w:val="24"/>
          <w:u w:val="single"/>
          <w:lang w:val="fr-CA"/>
        </w:rPr>
        <w:t>d</w:t>
      </w:r>
      <w:r w:rsidR="00A51AE5" w:rsidRPr="001A6340">
        <w:rPr>
          <w:rFonts w:cs="Arial"/>
          <w:b/>
          <w:sz w:val="24"/>
          <w:u w:val="single"/>
          <w:lang w:val="fr-CA"/>
        </w:rPr>
        <w:t>éfinitions</w:t>
      </w:r>
      <w:r w:rsidR="00A51AE5" w:rsidRPr="001A6340">
        <w:rPr>
          <w:rFonts w:cs="Arial"/>
          <w:sz w:val="24"/>
          <w:lang w:val="fr-CA"/>
        </w:rPr>
        <w:t xml:space="preserve">  Les</w:t>
      </w:r>
      <w:proofErr w:type="gramEnd"/>
      <w:r w:rsidR="00A51AE5" w:rsidRPr="001A6340">
        <w:rPr>
          <w:rFonts w:cs="Arial"/>
          <w:sz w:val="24"/>
          <w:lang w:val="fr-CA"/>
        </w:rPr>
        <w:t xml:space="preserve"> définitions qui suivent s’appliquent aux instances visées à la partie II.</w:t>
      </w:r>
    </w:p>
    <w:p w14:paraId="66B7B018" w14:textId="77777777" w:rsidR="00A51AE5" w:rsidRPr="001A6340" w:rsidRDefault="00A51AE5" w:rsidP="00A51AE5">
      <w:pPr>
        <w:rPr>
          <w:rFonts w:cs="Arial"/>
          <w:sz w:val="24"/>
          <w:lang w:val="fr-CA"/>
        </w:rPr>
      </w:pPr>
    </w:p>
    <w:p w14:paraId="2FEB8267" w14:textId="7B60656D" w:rsidR="00A51AE5" w:rsidRPr="001A6340" w:rsidRDefault="00A51AE5" w:rsidP="00A51AE5">
      <w:pPr>
        <w:rPr>
          <w:rFonts w:cs="Arial"/>
          <w:sz w:val="24"/>
          <w:lang w:val="fr-CA"/>
        </w:rPr>
      </w:pPr>
      <w:r w:rsidRPr="001A6340">
        <w:rPr>
          <w:b/>
          <w:bCs/>
          <w:sz w:val="24"/>
          <w:lang w:val="fr-CA"/>
        </w:rPr>
        <w:t>« </w:t>
      </w:r>
      <w:proofErr w:type="gramStart"/>
      <w:r w:rsidRPr="001A6340">
        <w:rPr>
          <w:b/>
          <w:bCs/>
          <w:sz w:val="24"/>
          <w:lang w:val="fr-CA"/>
        </w:rPr>
        <w:t>demande</w:t>
      </w:r>
      <w:proofErr w:type="gramEnd"/>
      <w:r w:rsidRPr="001A6340">
        <w:rPr>
          <w:b/>
          <w:bCs/>
          <w:sz w:val="24"/>
          <w:lang w:val="fr-CA"/>
        </w:rPr>
        <w:t xml:space="preserve"> de </w:t>
      </w:r>
      <w:r w:rsidR="00786B25" w:rsidRPr="001A6340">
        <w:rPr>
          <w:b/>
          <w:bCs/>
          <w:sz w:val="24"/>
          <w:lang w:val="fr-CA"/>
        </w:rPr>
        <w:t>médiation </w:t>
      </w:r>
      <w:r w:rsidRPr="001A6340">
        <w:rPr>
          <w:b/>
          <w:bCs/>
          <w:sz w:val="24"/>
          <w:lang w:val="fr-CA"/>
        </w:rPr>
        <w:t>»</w:t>
      </w:r>
      <w:r w:rsidRPr="001A6340">
        <w:rPr>
          <w:sz w:val="24"/>
          <w:lang w:val="fr-CA"/>
        </w:rPr>
        <w:t xml:space="preserve"> Demande que le requérant </w:t>
      </w:r>
      <w:r w:rsidR="00786B25" w:rsidRPr="001A6340">
        <w:rPr>
          <w:sz w:val="24"/>
          <w:lang w:val="fr-CA"/>
        </w:rPr>
        <w:t xml:space="preserve">ou </w:t>
      </w:r>
      <w:r w:rsidRPr="001A6340">
        <w:rPr>
          <w:sz w:val="24"/>
          <w:lang w:val="fr-CA"/>
        </w:rPr>
        <w:t xml:space="preserve">l’intimé présente au Tribunal dans l’intention de régler par la </w:t>
      </w:r>
      <w:r w:rsidR="00786B25" w:rsidRPr="001A6340">
        <w:rPr>
          <w:sz w:val="24"/>
          <w:lang w:val="fr-CA"/>
        </w:rPr>
        <w:t xml:space="preserve">médiation </w:t>
      </w:r>
      <w:r w:rsidRPr="001A6340">
        <w:rPr>
          <w:sz w:val="24"/>
          <w:lang w:val="fr-CA"/>
        </w:rPr>
        <w:t>un litige relatif à l’indemnité qui peut être demandée en vertu de la Loi.</w:t>
      </w:r>
    </w:p>
    <w:p w14:paraId="78F682A8" w14:textId="77777777" w:rsidR="00A51AE5" w:rsidRPr="001A6340" w:rsidRDefault="00A51AE5" w:rsidP="00A51AE5">
      <w:pPr>
        <w:rPr>
          <w:rFonts w:cs="Arial"/>
          <w:sz w:val="24"/>
          <w:lang w:val="fr-CA"/>
        </w:rPr>
      </w:pPr>
    </w:p>
    <w:p w14:paraId="33BCF430" w14:textId="2E486CBF" w:rsidR="00786B25" w:rsidRPr="001A6340" w:rsidRDefault="00786B25" w:rsidP="00A51AE5">
      <w:pPr>
        <w:rPr>
          <w:rFonts w:cs="Arial"/>
          <w:b/>
          <w:bCs/>
          <w:sz w:val="24"/>
          <w:lang w:val="fr-CA"/>
        </w:rPr>
      </w:pPr>
      <w:r w:rsidRPr="001A6340">
        <w:rPr>
          <w:rFonts w:cs="Arial"/>
          <w:b/>
          <w:bCs/>
          <w:sz w:val="24"/>
          <w:lang w:val="fr-CA"/>
        </w:rPr>
        <w:t>« </w:t>
      </w:r>
      <w:proofErr w:type="gramStart"/>
      <w:r w:rsidRPr="001A6340">
        <w:rPr>
          <w:rFonts w:cs="Arial"/>
          <w:b/>
          <w:bCs/>
          <w:sz w:val="24"/>
          <w:lang w:val="fr-CA"/>
        </w:rPr>
        <w:t>demande</w:t>
      </w:r>
      <w:proofErr w:type="gramEnd"/>
      <w:r w:rsidRPr="001A6340">
        <w:rPr>
          <w:rFonts w:cs="Arial"/>
          <w:b/>
          <w:bCs/>
          <w:sz w:val="24"/>
          <w:lang w:val="fr-CA"/>
        </w:rPr>
        <w:t xml:space="preserve"> d’indemnité » </w:t>
      </w:r>
      <w:r w:rsidRPr="001A6340">
        <w:rPr>
          <w:rFonts w:cs="Arial"/>
          <w:sz w:val="24"/>
          <w:lang w:val="fr-CA"/>
        </w:rPr>
        <w:t>Demande d’indemnité en vertu de la Loi</w:t>
      </w:r>
    </w:p>
    <w:p w14:paraId="1E1210B5" w14:textId="77777777" w:rsidR="00786B25" w:rsidRPr="001A6340" w:rsidRDefault="00786B25" w:rsidP="00A51AE5">
      <w:pPr>
        <w:rPr>
          <w:rFonts w:cs="Arial"/>
          <w:b/>
          <w:bCs/>
          <w:sz w:val="24"/>
          <w:lang w:val="fr-CA"/>
        </w:rPr>
      </w:pPr>
    </w:p>
    <w:p w14:paraId="23FF4DAF" w14:textId="3E0C859F" w:rsidR="00A51AE5" w:rsidRPr="001A6340" w:rsidRDefault="00A51AE5" w:rsidP="00A51AE5">
      <w:pPr>
        <w:rPr>
          <w:rFonts w:cs="Arial"/>
          <w:sz w:val="24"/>
          <w:lang w:val="fr-CA"/>
        </w:rPr>
      </w:pPr>
      <w:r w:rsidRPr="001A6340">
        <w:rPr>
          <w:rFonts w:cs="Arial"/>
          <w:b/>
          <w:bCs/>
          <w:sz w:val="24"/>
          <w:lang w:val="fr-CA"/>
        </w:rPr>
        <w:t>« </w:t>
      </w:r>
      <w:proofErr w:type="gramStart"/>
      <w:r w:rsidRPr="001A6340">
        <w:rPr>
          <w:rFonts w:cs="Arial"/>
          <w:b/>
          <w:bCs/>
          <w:sz w:val="24"/>
          <w:lang w:val="fr-CA"/>
        </w:rPr>
        <w:t>intimé</w:t>
      </w:r>
      <w:proofErr w:type="gramEnd"/>
      <w:r w:rsidRPr="001A6340">
        <w:rPr>
          <w:rFonts w:cs="Arial"/>
          <w:b/>
          <w:bCs/>
          <w:sz w:val="24"/>
          <w:lang w:val="fr-CA"/>
        </w:rPr>
        <w:t> »</w:t>
      </w:r>
      <w:r w:rsidRPr="001A6340">
        <w:rPr>
          <w:rFonts w:cs="Arial"/>
          <w:sz w:val="24"/>
          <w:lang w:val="fr-CA"/>
        </w:rPr>
        <w:t xml:space="preserve"> Autorité </w:t>
      </w:r>
      <w:r w:rsidR="00786B25" w:rsidRPr="001A6340">
        <w:rPr>
          <w:rFonts w:cs="Arial"/>
          <w:sz w:val="24"/>
          <w:lang w:val="fr-CA"/>
        </w:rPr>
        <w:t xml:space="preserve">expropriante ou autorité </w:t>
      </w:r>
      <w:r w:rsidRPr="001A6340">
        <w:rPr>
          <w:rFonts w:cs="Arial"/>
          <w:sz w:val="24"/>
          <w:lang w:val="fr-CA"/>
        </w:rPr>
        <w:t>légale au sens de la Loi.</w:t>
      </w:r>
    </w:p>
    <w:p w14:paraId="145406B9" w14:textId="77777777" w:rsidR="00A51AE5" w:rsidRPr="001A6340" w:rsidRDefault="00A51AE5" w:rsidP="00A51AE5">
      <w:pPr>
        <w:rPr>
          <w:rFonts w:cs="Arial"/>
          <w:sz w:val="24"/>
          <w:lang w:val="fr-CA"/>
        </w:rPr>
      </w:pPr>
    </w:p>
    <w:p w14:paraId="76929A01" w14:textId="77777777" w:rsidR="00A51AE5" w:rsidRPr="001A6340" w:rsidRDefault="00A51AE5" w:rsidP="00A51AE5">
      <w:pPr>
        <w:rPr>
          <w:rFonts w:cs="Arial"/>
          <w:iCs/>
          <w:sz w:val="24"/>
          <w:lang w:val="fr-CA"/>
        </w:rPr>
      </w:pPr>
      <w:r w:rsidRPr="001A6340">
        <w:rPr>
          <w:rFonts w:cs="Arial"/>
          <w:b/>
          <w:bCs/>
          <w:sz w:val="24"/>
          <w:lang w:val="fr-CA"/>
        </w:rPr>
        <w:t>« Loi »</w:t>
      </w:r>
      <w:r w:rsidRPr="001A6340">
        <w:rPr>
          <w:rFonts w:cs="Arial"/>
          <w:sz w:val="24"/>
          <w:lang w:val="fr-CA"/>
        </w:rPr>
        <w:t xml:space="preserve"> La </w:t>
      </w:r>
      <w:r w:rsidRPr="001A6340">
        <w:rPr>
          <w:rFonts w:cs="Arial"/>
          <w:i/>
          <w:iCs/>
          <w:sz w:val="24"/>
          <w:lang w:val="fr-CA"/>
        </w:rPr>
        <w:t>Loi sur l'expropriation,</w:t>
      </w:r>
      <w:r w:rsidRPr="001A6340">
        <w:rPr>
          <w:rFonts w:cs="Arial"/>
          <w:iCs/>
          <w:sz w:val="24"/>
          <w:lang w:val="fr-CA"/>
        </w:rPr>
        <w:t xml:space="preserve"> L.R.O. 1990, chap. E.26, dans sa version modifiée.</w:t>
      </w:r>
    </w:p>
    <w:p w14:paraId="712B1E68" w14:textId="77777777" w:rsidR="00A51AE5" w:rsidRPr="001A6340" w:rsidRDefault="00A51AE5" w:rsidP="00A51AE5">
      <w:pPr>
        <w:rPr>
          <w:rFonts w:cs="Arial"/>
          <w:iCs/>
          <w:sz w:val="24"/>
          <w:lang w:val="fr-CA"/>
        </w:rPr>
      </w:pPr>
    </w:p>
    <w:p w14:paraId="1E3A7A56" w14:textId="3C1FF7D1" w:rsidR="00A51AE5" w:rsidRPr="001A6340" w:rsidRDefault="00A51AE5" w:rsidP="00A51AE5">
      <w:pPr>
        <w:rPr>
          <w:rFonts w:cs="Arial"/>
          <w:i/>
          <w:iCs/>
          <w:sz w:val="24"/>
          <w:lang w:val="fr-CA"/>
        </w:rPr>
      </w:pPr>
      <w:r w:rsidRPr="001A6340">
        <w:rPr>
          <w:rFonts w:cs="Arial"/>
          <w:b/>
          <w:bCs/>
          <w:iCs/>
          <w:sz w:val="24"/>
          <w:lang w:val="fr-CA"/>
        </w:rPr>
        <w:t>« </w:t>
      </w:r>
      <w:proofErr w:type="gramStart"/>
      <w:r w:rsidRPr="001A6340">
        <w:rPr>
          <w:rFonts w:cs="Arial"/>
          <w:b/>
          <w:bCs/>
          <w:iCs/>
          <w:sz w:val="24"/>
          <w:lang w:val="fr-CA"/>
        </w:rPr>
        <w:t>pièces</w:t>
      </w:r>
      <w:proofErr w:type="gramEnd"/>
      <w:r w:rsidRPr="001A6340">
        <w:rPr>
          <w:rFonts w:cs="Arial"/>
          <w:b/>
          <w:bCs/>
          <w:iCs/>
          <w:sz w:val="24"/>
          <w:lang w:val="fr-CA"/>
        </w:rPr>
        <w:t xml:space="preserve"> de procédure »</w:t>
      </w:r>
      <w:r w:rsidRPr="001A6340">
        <w:rPr>
          <w:rFonts w:cs="Arial"/>
          <w:iCs/>
          <w:sz w:val="24"/>
          <w:lang w:val="fr-CA"/>
        </w:rPr>
        <w:t xml:space="preserve"> S’entend de l’avis d’arbitrage et demande d’indemnité, de l’avis d’arbitrage</w:t>
      </w:r>
      <w:r w:rsidR="00786B25" w:rsidRPr="001A6340">
        <w:rPr>
          <w:rFonts w:cs="Arial"/>
          <w:iCs/>
          <w:sz w:val="24"/>
          <w:lang w:val="fr-CA"/>
        </w:rPr>
        <w:t>, de la demande d’indemnité</w:t>
      </w:r>
      <w:r w:rsidRPr="001A6340">
        <w:rPr>
          <w:rFonts w:cs="Arial"/>
          <w:iCs/>
          <w:sz w:val="24"/>
          <w:lang w:val="fr-CA"/>
        </w:rPr>
        <w:t xml:space="preserve"> ou de la réponse.</w:t>
      </w:r>
    </w:p>
    <w:p w14:paraId="44740724" w14:textId="77777777" w:rsidR="00A51AE5" w:rsidRPr="001A6340" w:rsidRDefault="00A51AE5" w:rsidP="00A51AE5">
      <w:pPr>
        <w:rPr>
          <w:rFonts w:cs="Arial"/>
          <w:sz w:val="24"/>
          <w:lang w:val="fr-CA"/>
        </w:rPr>
      </w:pPr>
    </w:p>
    <w:p w14:paraId="3242B803" w14:textId="77777777" w:rsidR="00A51AE5" w:rsidRPr="001A6340" w:rsidRDefault="00A51AE5" w:rsidP="00A51AE5">
      <w:pPr>
        <w:rPr>
          <w:rFonts w:cs="Arial"/>
          <w:sz w:val="24"/>
          <w:lang w:val="fr-CA"/>
        </w:rPr>
      </w:pPr>
      <w:r w:rsidRPr="001A6340">
        <w:rPr>
          <w:rFonts w:cs="Arial"/>
          <w:b/>
          <w:bCs/>
          <w:sz w:val="24"/>
          <w:lang w:val="fr-CA"/>
        </w:rPr>
        <w:t>« </w:t>
      </w:r>
      <w:proofErr w:type="gramStart"/>
      <w:r w:rsidRPr="001A6340">
        <w:rPr>
          <w:rFonts w:cs="Arial"/>
          <w:b/>
          <w:bCs/>
          <w:sz w:val="24"/>
          <w:lang w:val="fr-CA"/>
        </w:rPr>
        <w:t>requérant</w:t>
      </w:r>
      <w:proofErr w:type="gramEnd"/>
      <w:r w:rsidRPr="001A6340">
        <w:rPr>
          <w:rFonts w:cs="Arial"/>
          <w:b/>
          <w:bCs/>
          <w:sz w:val="24"/>
          <w:lang w:val="fr-CA"/>
        </w:rPr>
        <w:t> »</w:t>
      </w:r>
      <w:r w:rsidRPr="001A6340">
        <w:rPr>
          <w:rFonts w:cs="Arial"/>
          <w:sz w:val="24"/>
          <w:lang w:val="fr-CA"/>
        </w:rPr>
        <w:t xml:space="preserve"> Propriétaire au sens de la Loi.</w:t>
      </w:r>
    </w:p>
    <w:p w14:paraId="449A0CF4" w14:textId="77777777" w:rsidR="00A51AE5" w:rsidRPr="001A6340" w:rsidRDefault="00A51AE5" w:rsidP="00A51AE5">
      <w:pPr>
        <w:rPr>
          <w:rFonts w:cs="Arial"/>
          <w:sz w:val="24"/>
          <w:lang w:val="fr-CA"/>
        </w:rPr>
      </w:pPr>
    </w:p>
    <w:p w14:paraId="64EFB984" w14:textId="3172D216" w:rsidR="00A51AE5" w:rsidRPr="001A6340" w:rsidRDefault="00786B25" w:rsidP="00A51AE5">
      <w:pPr>
        <w:rPr>
          <w:rFonts w:cs="Arial"/>
          <w:sz w:val="24"/>
          <w:lang w:val="fr-CA"/>
        </w:rPr>
      </w:pPr>
      <w:r w:rsidRPr="001A6340">
        <w:rPr>
          <w:rFonts w:cs="Arial"/>
          <w:b/>
          <w:bCs/>
          <w:sz w:val="24"/>
          <w:u w:val="single"/>
          <w:lang w:val="fr-CA"/>
        </w:rPr>
        <w:t>Médiation</w:t>
      </w:r>
    </w:p>
    <w:p w14:paraId="5BACE4BA" w14:textId="77777777" w:rsidR="00A51AE5" w:rsidRPr="001A6340" w:rsidRDefault="00A51AE5" w:rsidP="00A51AE5">
      <w:pPr>
        <w:rPr>
          <w:rFonts w:cs="Arial"/>
          <w:sz w:val="24"/>
          <w:lang w:val="fr-CA"/>
        </w:rPr>
      </w:pPr>
    </w:p>
    <w:p w14:paraId="12CFA35E" w14:textId="2F135EDF" w:rsidR="00A51AE5" w:rsidRPr="001A6340" w:rsidRDefault="00A51AE5" w:rsidP="00A51AE5">
      <w:pPr>
        <w:rPr>
          <w:rFonts w:cs="Arial"/>
          <w:sz w:val="24"/>
          <w:lang w:val="fr-CA"/>
        </w:rPr>
      </w:pPr>
      <w:r w:rsidRPr="001A6340">
        <w:rPr>
          <w:rFonts w:cs="Arial"/>
          <w:b/>
          <w:bCs/>
          <w:sz w:val="24"/>
          <w:lang w:val="fr-CA"/>
        </w:rPr>
        <w:t>26.</w:t>
      </w:r>
      <w:r w:rsidR="00786B25" w:rsidRPr="001A6340">
        <w:rPr>
          <w:rFonts w:cs="Arial"/>
          <w:b/>
          <w:bCs/>
          <w:sz w:val="24"/>
          <w:lang w:val="fr-CA"/>
        </w:rPr>
        <w:t>5</w:t>
      </w:r>
      <w:r w:rsidRPr="001A6340">
        <w:rPr>
          <w:rFonts w:cs="Arial"/>
          <w:sz w:val="24"/>
          <w:lang w:val="fr-CA"/>
        </w:rPr>
        <w:tab/>
      </w:r>
      <w:r w:rsidR="00786B25" w:rsidRPr="001A6340">
        <w:rPr>
          <w:rFonts w:cs="Arial"/>
          <w:b/>
          <w:bCs/>
          <w:sz w:val="24"/>
          <w:lang w:val="fr-CA"/>
        </w:rPr>
        <w:t>Demande de médiation</w:t>
      </w:r>
      <w:r w:rsidR="00786B25" w:rsidRPr="001A6340">
        <w:rPr>
          <w:rFonts w:cs="Arial"/>
          <w:sz w:val="24"/>
          <w:lang w:val="fr-CA"/>
        </w:rPr>
        <w:t xml:space="preserve"> </w:t>
      </w:r>
      <w:r w:rsidRPr="001A6340">
        <w:rPr>
          <w:rFonts w:cs="Arial"/>
          <w:sz w:val="24"/>
          <w:lang w:val="fr-CA"/>
        </w:rPr>
        <w:t xml:space="preserve">Le requérant ou l’intimé peut déposer </w:t>
      </w:r>
      <w:r w:rsidR="0067349A" w:rsidRPr="001A6340">
        <w:rPr>
          <w:rFonts w:cs="Arial"/>
          <w:sz w:val="24"/>
          <w:lang w:val="fr-CA"/>
        </w:rPr>
        <w:t>au greffier une de</w:t>
      </w:r>
      <w:r w:rsidR="00E81EA2" w:rsidRPr="001A6340">
        <w:rPr>
          <w:rFonts w:cs="Arial"/>
          <w:sz w:val="24"/>
          <w:lang w:val="fr-CA"/>
        </w:rPr>
        <w:t>m</w:t>
      </w:r>
      <w:r w:rsidR="0067349A" w:rsidRPr="001A6340">
        <w:rPr>
          <w:rFonts w:cs="Arial"/>
          <w:sz w:val="24"/>
          <w:lang w:val="fr-CA"/>
        </w:rPr>
        <w:t>ande de médiation</w:t>
      </w:r>
      <w:r w:rsidR="00E81EA2" w:rsidRPr="001A6340">
        <w:rPr>
          <w:rFonts w:cs="Arial"/>
          <w:sz w:val="24"/>
          <w:lang w:val="fr-CA"/>
        </w:rPr>
        <w:t>,</w:t>
      </w:r>
      <w:r w:rsidR="0067349A" w:rsidRPr="001A6340">
        <w:rPr>
          <w:rFonts w:cs="Arial"/>
          <w:sz w:val="24"/>
          <w:lang w:val="fr-CA"/>
        </w:rPr>
        <w:t xml:space="preserve"> à n’importe quelle étape d’une instance</w:t>
      </w:r>
      <w:r w:rsidR="00E81EA2" w:rsidRPr="001A6340">
        <w:rPr>
          <w:rFonts w:cs="Arial"/>
          <w:sz w:val="24"/>
          <w:lang w:val="fr-CA"/>
        </w:rPr>
        <w:t>,</w:t>
      </w:r>
      <w:r w:rsidR="0067349A" w:rsidRPr="001A6340">
        <w:rPr>
          <w:rFonts w:cs="Arial"/>
          <w:sz w:val="24"/>
          <w:lang w:val="fr-CA"/>
        </w:rPr>
        <w:t xml:space="preserve"> en vertu de la Loi, y compris avant ou après la signification d</w:t>
      </w:r>
      <w:r w:rsidR="00E81EA2" w:rsidRPr="001A6340">
        <w:rPr>
          <w:rFonts w:cs="Arial"/>
          <w:sz w:val="24"/>
          <w:lang w:val="fr-CA"/>
        </w:rPr>
        <w:t>e pièces</w:t>
      </w:r>
      <w:r w:rsidR="0067349A" w:rsidRPr="001A6340">
        <w:rPr>
          <w:rFonts w:cs="Arial"/>
          <w:sz w:val="24"/>
          <w:lang w:val="fr-CA"/>
        </w:rPr>
        <w:t xml:space="preserve"> de procédure.</w:t>
      </w:r>
    </w:p>
    <w:p w14:paraId="42BB00ED" w14:textId="77777777" w:rsidR="00A51AE5" w:rsidRPr="001A6340" w:rsidRDefault="00A51AE5" w:rsidP="00A51AE5">
      <w:pPr>
        <w:rPr>
          <w:rFonts w:cs="Arial"/>
          <w:sz w:val="24"/>
          <w:lang w:val="fr-CA"/>
        </w:rPr>
      </w:pPr>
    </w:p>
    <w:p w14:paraId="160F861E" w14:textId="12D40789" w:rsidR="0067349A" w:rsidRPr="001A6340" w:rsidRDefault="00A51AE5" w:rsidP="00A51AE5">
      <w:pPr>
        <w:rPr>
          <w:sz w:val="24"/>
          <w:lang w:val="fr-CA"/>
        </w:rPr>
      </w:pPr>
      <w:r w:rsidRPr="001A6340">
        <w:rPr>
          <w:b/>
          <w:bCs/>
          <w:sz w:val="24"/>
          <w:lang w:val="fr-CA"/>
        </w:rPr>
        <w:t>26.</w:t>
      </w:r>
      <w:r w:rsidR="0067349A" w:rsidRPr="001A6340">
        <w:rPr>
          <w:b/>
          <w:bCs/>
          <w:sz w:val="24"/>
          <w:lang w:val="fr-CA"/>
        </w:rPr>
        <w:t>6</w:t>
      </w:r>
      <w:r w:rsidRPr="001A6340">
        <w:rPr>
          <w:sz w:val="24"/>
          <w:lang w:val="fr-CA"/>
        </w:rPr>
        <w:tab/>
      </w:r>
      <w:r w:rsidR="0067349A" w:rsidRPr="001A6340">
        <w:rPr>
          <w:b/>
          <w:bCs/>
          <w:sz w:val="24"/>
          <w:lang w:val="fr-CA"/>
        </w:rPr>
        <w:t xml:space="preserve">Les parties doivent </w:t>
      </w:r>
      <w:r w:rsidR="00E81EA2" w:rsidRPr="001A6340">
        <w:rPr>
          <w:b/>
          <w:bCs/>
          <w:sz w:val="24"/>
          <w:lang w:val="fr-CA"/>
        </w:rPr>
        <w:t>se consulter</w:t>
      </w:r>
      <w:r w:rsidR="0067349A" w:rsidRPr="001A6340">
        <w:rPr>
          <w:sz w:val="24"/>
          <w:lang w:val="fr-CA"/>
        </w:rPr>
        <w:t xml:space="preserve"> </w:t>
      </w:r>
      <w:r w:rsidRPr="001A6340">
        <w:rPr>
          <w:sz w:val="24"/>
          <w:lang w:val="fr-CA"/>
        </w:rPr>
        <w:t xml:space="preserve">Le Tribunal peut, </w:t>
      </w:r>
      <w:r w:rsidR="0067349A" w:rsidRPr="001A6340">
        <w:rPr>
          <w:rFonts w:cs="Arial"/>
          <w:sz w:val="24"/>
          <w:lang w:val="fr-CA"/>
        </w:rPr>
        <w:t xml:space="preserve">à n’importe quelle étape d’une instance en vertu de la Loi, ordonner aux parties de discuter entre elles de la possibilité de participer à une séance de médiation en vue de régler tout ou partie d’une demande d’indemnité. </w:t>
      </w:r>
      <w:r w:rsidRPr="001A6340">
        <w:rPr>
          <w:sz w:val="24"/>
          <w:lang w:val="fr-CA"/>
        </w:rPr>
        <w:t xml:space="preserve">La règle 18 s’applique avec les modifications nécessaires. </w:t>
      </w:r>
    </w:p>
    <w:p w14:paraId="1B1F4B48" w14:textId="205C20A4" w:rsidR="00A51AE5" w:rsidRPr="001A6340" w:rsidRDefault="0067349A" w:rsidP="00A51AE5">
      <w:pPr>
        <w:rPr>
          <w:sz w:val="24"/>
          <w:lang w:val="fr-CA"/>
        </w:rPr>
      </w:pPr>
      <w:r w:rsidRPr="001A6340">
        <w:rPr>
          <w:sz w:val="24"/>
          <w:lang w:val="fr-CA"/>
        </w:rPr>
        <w:lastRenderedPageBreak/>
        <w:t xml:space="preserve">26.7 </w:t>
      </w:r>
      <w:r w:rsidRPr="001A6340">
        <w:rPr>
          <w:sz w:val="24"/>
          <w:lang w:val="fr-CA"/>
        </w:rPr>
        <w:tab/>
      </w:r>
      <w:r w:rsidRPr="001A6340">
        <w:rPr>
          <w:b/>
          <w:bCs/>
          <w:sz w:val="24"/>
          <w:lang w:val="fr-CA"/>
        </w:rPr>
        <w:t>Directives du Tribunal</w:t>
      </w:r>
      <w:r w:rsidRPr="001A6340">
        <w:rPr>
          <w:sz w:val="24"/>
          <w:lang w:val="fr-CA"/>
        </w:rPr>
        <w:t xml:space="preserve"> Le Tribunal donne avis aux parties de toute directive rendue en vertu de la règle 26.6 exigeant des parties qu’elles </w:t>
      </w:r>
      <w:r w:rsidRPr="001A6340">
        <w:rPr>
          <w:rFonts w:cs="Arial"/>
          <w:sz w:val="24"/>
          <w:lang w:val="fr-CA"/>
        </w:rPr>
        <w:t xml:space="preserve">discutent entre elles de la possibilité de participer à une séance de médiation. Dans les 15 jours de la réception de l’avis du Tribunal en vertu de la présente règle, les parties déposent aux Tribunal des observations écrites concernant a) </w:t>
      </w:r>
      <w:r w:rsidR="00E81EA2" w:rsidRPr="001A6340">
        <w:rPr>
          <w:rFonts w:cs="Arial"/>
          <w:sz w:val="24"/>
          <w:lang w:val="fr-CA"/>
        </w:rPr>
        <w:t xml:space="preserve">la proposition de fixer </w:t>
      </w:r>
      <w:r w:rsidRPr="001A6340">
        <w:rPr>
          <w:rFonts w:cs="Arial"/>
          <w:sz w:val="24"/>
          <w:lang w:val="fr-CA"/>
        </w:rPr>
        <w:t xml:space="preserve">une date de séance de médiation ou b) les raisons pour lesquelles la partie croit qu’une médiation </w:t>
      </w:r>
      <w:r w:rsidR="00C00478" w:rsidRPr="001A6340">
        <w:rPr>
          <w:rFonts w:cs="Arial"/>
          <w:sz w:val="24"/>
          <w:lang w:val="fr-CA"/>
        </w:rPr>
        <w:t xml:space="preserve">aura peu de chances d’aboutir au règlement de tout ou partie de la demande d’indemnité. Après avoir examiné les observations des parties, le Tribunal peut ordonner aux parties de participer à une médiation en vertu de la règle 18, de fixer une date de conférence de gestion de la cause en vertu de la règle 19 ou de prendre toute autre mesure que le Tribunal estime indiquée. La directive du Tribunal concernant la médiation en vertu des règles 26.6 et 26.7 est définitive et ne peut pas faire l’objet d’une révision en vertu de la règle 25 ou de l’article 23 de la </w:t>
      </w:r>
      <w:r w:rsidR="00C00478" w:rsidRPr="001A6340">
        <w:rPr>
          <w:rFonts w:cs="Arial"/>
          <w:i/>
          <w:iCs/>
          <w:sz w:val="24"/>
          <w:lang w:val="fr-CA"/>
        </w:rPr>
        <w:t>Loi de 2021 sur le tribunal ontarien de l'aménagement du territoire</w:t>
      </w:r>
      <w:r w:rsidR="00C00478" w:rsidRPr="001A6340">
        <w:rPr>
          <w:rFonts w:cs="Arial"/>
          <w:sz w:val="24"/>
          <w:lang w:val="fr-CA"/>
        </w:rPr>
        <w:t xml:space="preserve">. </w:t>
      </w:r>
      <w:r w:rsidRPr="001A6340">
        <w:rPr>
          <w:rFonts w:cs="Arial"/>
          <w:sz w:val="24"/>
          <w:lang w:val="fr-CA"/>
        </w:rPr>
        <w:t xml:space="preserve"> </w:t>
      </w:r>
    </w:p>
    <w:p w14:paraId="1A97D210" w14:textId="77777777" w:rsidR="00A51AE5" w:rsidRPr="001A6340" w:rsidRDefault="00A51AE5" w:rsidP="00A51AE5">
      <w:pPr>
        <w:rPr>
          <w:sz w:val="24"/>
          <w:lang w:val="fr-CA"/>
        </w:rPr>
      </w:pPr>
    </w:p>
    <w:p w14:paraId="4D627F89" w14:textId="57E6840B" w:rsidR="00A51AE5" w:rsidRPr="001A6340" w:rsidRDefault="00A51AE5" w:rsidP="00A51AE5">
      <w:pPr>
        <w:rPr>
          <w:sz w:val="24"/>
          <w:lang w:val="fr-CA"/>
        </w:rPr>
      </w:pPr>
      <w:r w:rsidRPr="001A6340">
        <w:rPr>
          <w:b/>
          <w:bCs/>
          <w:sz w:val="24"/>
          <w:lang w:val="fr-CA"/>
        </w:rPr>
        <w:t>26.</w:t>
      </w:r>
      <w:r w:rsidR="00C00478" w:rsidRPr="001A6340">
        <w:rPr>
          <w:b/>
          <w:bCs/>
          <w:sz w:val="24"/>
          <w:lang w:val="fr-CA"/>
        </w:rPr>
        <w:t xml:space="preserve">8 </w:t>
      </w:r>
      <w:r w:rsidR="00C00478" w:rsidRPr="001A6340">
        <w:rPr>
          <w:b/>
          <w:bCs/>
          <w:sz w:val="24"/>
          <w:lang w:val="fr-CA"/>
        </w:rPr>
        <w:tab/>
        <w:t>Fin de la médiation de l’initiative d’une partie</w:t>
      </w:r>
      <w:r w:rsidR="00C00478" w:rsidRPr="001A6340">
        <w:rPr>
          <w:sz w:val="24"/>
          <w:lang w:val="fr-CA"/>
        </w:rPr>
        <w:t xml:space="preserve"> Sur avis du Tribunal, l</w:t>
      </w:r>
      <w:r w:rsidRPr="001A6340">
        <w:rPr>
          <w:sz w:val="24"/>
          <w:lang w:val="fr-CA"/>
        </w:rPr>
        <w:t xml:space="preserve">e requérant ou l’intimé qui met fin à </w:t>
      </w:r>
      <w:r w:rsidR="00C00478" w:rsidRPr="001A6340">
        <w:rPr>
          <w:sz w:val="24"/>
          <w:lang w:val="fr-CA"/>
        </w:rPr>
        <w:t xml:space="preserve">une </w:t>
      </w:r>
      <w:r w:rsidRPr="001A6340">
        <w:rPr>
          <w:sz w:val="24"/>
          <w:lang w:val="fr-CA"/>
        </w:rPr>
        <w:t xml:space="preserve">médiation </w:t>
      </w:r>
      <w:r w:rsidR="00C00478" w:rsidRPr="001A6340">
        <w:rPr>
          <w:sz w:val="24"/>
          <w:lang w:val="fr-CA"/>
        </w:rPr>
        <w:t xml:space="preserve">qui a eu lieu avant la signification des </w:t>
      </w:r>
      <w:r w:rsidR="00E81EA2" w:rsidRPr="001A6340">
        <w:rPr>
          <w:sz w:val="24"/>
          <w:lang w:val="fr-CA"/>
        </w:rPr>
        <w:t>pièces</w:t>
      </w:r>
      <w:r w:rsidR="00C00478" w:rsidRPr="001A6340">
        <w:rPr>
          <w:sz w:val="24"/>
          <w:lang w:val="fr-CA"/>
        </w:rPr>
        <w:t xml:space="preserve"> de procédure</w:t>
      </w:r>
      <w:r w:rsidRPr="001A6340">
        <w:rPr>
          <w:sz w:val="24"/>
          <w:lang w:val="fr-CA"/>
        </w:rPr>
        <w:t xml:space="preserve"> peut </w:t>
      </w:r>
      <w:r w:rsidR="00C00478" w:rsidRPr="001A6340">
        <w:rPr>
          <w:sz w:val="24"/>
          <w:lang w:val="fr-CA"/>
        </w:rPr>
        <w:t xml:space="preserve">procéder au règlement du litige à l’égard de l’indemnité à verser en vertu de la Loi en déposant un avis d’arbitrage </w:t>
      </w:r>
      <w:r w:rsidR="00C00478" w:rsidRPr="001A6340">
        <w:rPr>
          <w:rFonts w:cs="Arial"/>
          <w:iCs/>
          <w:sz w:val="24"/>
          <w:lang w:val="fr-CA"/>
        </w:rPr>
        <w:t>et demande d’indemnité</w:t>
      </w:r>
      <w:r w:rsidR="00C00478" w:rsidRPr="001A6340">
        <w:rPr>
          <w:sz w:val="24"/>
          <w:lang w:val="fr-CA"/>
        </w:rPr>
        <w:t xml:space="preserve"> ou un avis d’arbitrage, selon ce qui convient, </w:t>
      </w:r>
      <w:r w:rsidRPr="001A6340">
        <w:rPr>
          <w:sz w:val="24"/>
          <w:lang w:val="fr-CA"/>
        </w:rPr>
        <w:t>dans le délai applicable prévu par la loi.</w:t>
      </w:r>
    </w:p>
    <w:p w14:paraId="56C38ECC" w14:textId="77777777" w:rsidR="00A51AE5" w:rsidRPr="001A6340" w:rsidRDefault="00A51AE5" w:rsidP="00A51AE5">
      <w:pPr>
        <w:rPr>
          <w:sz w:val="24"/>
          <w:lang w:val="fr-CA"/>
        </w:rPr>
      </w:pPr>
    </w:p>
    <w:p w14:paraId="19FBB64D" w14:textId="41646FDD" w:rsidR="00C00478" w:rsidRPr="001A6340" w:rsidRDefault="00C00478" w:rsidP="00A51AE5">
      <w:pPr>
        <w:rPr>
          <w:sz w:val="24"/>
          <w:lang w:val="fr-CA"/>
        </w:rPr>
      </w:pPr>
      <w:r w:rsidRPr="001A6340">
        <w:rPr>
          <w:b/>
          <w:bCs/>
          <w:sz w:val="24"/>
          <w:lang w:val="fr-CA"/>
        </w:rPr>
        <w:t>26.9</w:t>
      </w:r>
      <w:r w:rsidRPr="001A6340">
        <w:rPr>
          <w:b/>
          <w:bCs/>
          <w:sz w:val="24"/>
          <w:lang w:val="fr-CA"/>
        </w:rPr>
        <w:tab/>
        <w:t xml:space="preserve">Fin de la médiation de l’initiative du Tribunal </w:t>
      </w:r>
      <w:r w:rsidRPr="001A6340">
        <w:rPr>
          <w:sz w:val="24"/>
          <w:lang w:val="fr-CA"/>
        </w:rPr>
        <w:t>Le Tribunal peut mettre fin à la médiation sur avis au requérant ou à l’intimé, n’importe quand et pour n’importe quel motif, y compris l’omission, par le requérant ou l’intimé, de se conformer à une directive du Tribunal.</w:t>
      </w:r>
    </w:p>
    <w:p w14:paraId="5A17F5F9" w14:textId="77777777" w:rsidR="00C00478" w:rsidRPr="001A6340" w:rsidRDefault="00C00478" w:rsidP="00A51AE5">
      <w:pPr>
        <w:rPr>
          <w:sz w:val="24"/>
          <w:lang w:val="fr-CA"/>
        </w:rPr>
      </w:pPr>
    </w:p>
    <w:p w14:paraId="3FE60198" w14:textId="77777777" w:rsidR="00C00478" w:rsidRPr="001A6340" w:rsidRDefault="00C00478" w:rsidP="00A51AE5">
      <w:pPr>
        <w:rPr>
          <w:sz w:val="24"/>
          <w:lang w:val="fr-CA"/>
        </w:rPr>
      </w:pPr>
    </w:p>
    <w:p w14:paraId="544638E8" w14:textId="45245145" w:rsidR="007833F8" w:rsidRPr="001A6340" w:rsidRDefault="00C00478" w:rsidP="00A51AE5">
      <w:pPr>
        <w:rPr>
          <w:sz w:val="24"/>
          <w:lang w:val="fr-CA"/>
        </w:rPr>
      </w:pPr>
      <w:r w:rsidRPr="001A6340">
        <w:rPr>
          <w:b/>
          <w:bCs/>
          <w:sz w:val="24"/>
          <w:lang w:val="fr-CA"/>
        </w:rPr>
        <w:t>26.10</w:t>
      </w:r>
      <w:r w:rsidRPr="001A6340">
        <w:rPr>
          <w:b/>
          <w:bCs/>
          <w:sz w:val="24"/>
          <w:lang w:val="fr-CA"/>
        </w:rPr>
        <w:tab/>
        <w:t>Directive du Tribunal après la fin de la médiation</w:t>
      </w:r>
      <w:r w:rsidRPr="001A6340">
        <w:rPr>
          <w:sz w:val="24"/>
          <w:lang w:val="fr-CA"/>
        </w:rPr>
        <w:t xml:space="preserve"> </w:t>
      </w:r>
      <w:r w:rsidR="007833F8" w:rsidRPr="001A6340">
        <w:rPr>
          <w:sz w:val="24"/>
          <w:lang w:val="fr-CA"/>
        </w:rPr>
        <w:t xml:space="preserve">Après la fin de la médiation, le Tribunal peut donner aux parties toute directive qu’il estime indiquée, y compris leur ordonner de déposer un avis d’arbitrage et demande d’indemnité ou une réponse, de fixer une date de conférence de gestion de la cause en vertu de la règle 19, d’établir les conditions d’une ordonnance d’ordre procédural et de fixer des dates </w:t>
      </w:r>
      <w:proofErr w:type="gramStart"/>
      <w:r w:rsidR="007833F8" w:rsidRPr="001A6340">
        <w:rPr>
          <w:sz w:val="24"/>
          <w:lang w:val="fr-CA"/>
        </w:rPr>
        <w:t xml:space="preserve">d’arbitrage.   </w:t>
      </w:r>
      <w:proofErr w:type="gramEnd"/>
      <w:r w:rsidR="007833F8" w:rsidRPr="001A6340">
        <w:rPr>
          <w:sz w:val="24"/>
          <w:lang w:val="fr-CA"/>
        </w:rPr>
        <w:t xml:space="preserve"> </w:t>
      </w:r>
      <w:r w:rsidRPr="001A6340">
        <w:rPr>
          <w:sz w:val="24"/>
          <w:lang w:val="fr-CA"/>
        </w:rPr>
        <w:t>.</w:t>
      </w:r>
    </w:p>
    <w:p w14:paraId="222186C4" w14:textId="77777777" w:rsidR="007833F8" w:rsidRPr="001A6340" w:rsidRDefault="007833F8" w:rsidP="00A51AE5">
      <w:pPr>
        <w:rPr>
          <w:sz w:val="24"/>
          <w:lang w:val="fr-CA"/>
        </w:rPr>
      </w:pPr>
    </w:p>
    <w:p w14:paraId="274A14C2" w14:textId="67A26FF5" w:rsidR="00A51AE5" w:rsidRPr="001A6340" w:rsidRDefault="00A51AE5" w:rsidP="00A51AE5">
      <w:pPr>
        <w:rPr>
          <w:rFonts w:cs="Arial"/>
          <w:sz w:val="24"/>
          <w:lang w:val="fr-CA"/>
        </w:rPr>
      </w:pPr>
      <w:r w:rsidRPr="001A6340">
        <w:rPr>
          <w:rFonts w:cs="Arial"/>
          <w:b/>
          <w:bCs/>
          <w:sz w:val="24"/>
          <w:lang w:val="fr-CA"/>
        </w:rPr>
        <w:t>Pièces de procédures </w:t>
      </w:r>
    </w:p>
    <w:p w14:paraId="600B187D" w14:textId="77777777" w:rsidR="00A51AE5" w:rsidRPr="001A6340" w:rsidRDefault="00A51AE5" w:rsidP="00A51AE5">
      <w:pPr>
        <w:rPr>
          <w:rFonts w:cs="Arial"/>
          <w:b/>
          <w:bCs/>
          <w:sz w:val="24"/>
          <w:lang w:val="fr-CA"/>
        </w:rPr>
      </w:pPr>
    </w:p>
    <w:p w14:paraId="24B74E3A" w14:textId="5DADEB09" w:rsidR="00A51AE5" w:rsidRPr="001A6340" w:rsidRDefault="00A51AE5" w:rsidP="00A51AE5">
      <w:pPr>
        <w:rPr>
          <w:rFonts w:cs="Arial"/>
          <w:sz w:val="24"/>
          <w:lang w:val="fr-CA"/>
        </w:rPr>
      </w:pPr>
      <w:r w:rsidRPr="001A6340">
        <w:rPr>
          <w:rFonts w:cs="Arial"/>
          <w:b/>
          <w:bCs/>
          <w:sz w:val="24"/>
          <w:lang w:val="fr-CA"/>
        </w:rPr>
        <w:t>26.</w:t>
      </w:r>
      <w:r w:rsidR="007833F8" w:rsidRPr="001A6340">
        <w:rPr>
          <w:rFonts w:cs="Arial"/>
          <w:b/>
          <w:bCs/>
          <w:sz w:val="24"/>
          <w:lang w:val="fr-CA"/>
        </w:rPr>
        <w:t>11</w:t>
      </w:r>
      <w:r w:rsidRPr="001A6340">
        <w:rPr>
          <w:rFonts w:cs="Arial"/>
          <w:b/>
          <w:bCs/>
          <w:sz w:val="24"/>
          <w:lang w:val="fr-CA"/>
        </w:rPr>
        <w:tab/>
      </w:r>
      <w:r w:rsidRPr="001A6340">
        <w:rPr>
          <w:rFonts w:cs="Arial"/>
          <w:b/>
          <w:sz w:val="24"/>
          <w:u w:val="single"/>
          <w:lang w:val="fr-CA"/>
        </w:rPr>
        <w:t xml:space="preserve">Avis d’arbitrage et demande d’indemnité du </w:t>
      </w:r>
      <w:proofErr w:type="gramStart"/>
      <w:r w:rsidRPr="001A6340">
        <w:rPr>
          <w:rFonts w:cs="Arial"/>
          <w:b/>
          <w:sz w:val="24"/>
          <w:u w:val="single"/>
          <w:lang w:val="fr-CA"/>
        </w:rPr>
        <w:t>requérant</w:t>
      </w:r>
      <w:r w:rsidRPr="001A6340">
        <w:rPr>
          <w:rFonts w:cs="Arial"/>
          <w:sz w:val="24"/>
          <w:lang w:val="fr-CA"/>
        </w:rPr>
        <w:t xml:space="preserve">  Le</w:t>
      </w:r>
      <w:proofErr w:type="gramEnd"/>
      <w:r w:rsidRPr="001A6340">
        <w:rPr>
          <w:rFonts w:cs="Arial"/>
          <w:sz w:val="24"/>
          <w:lang w:val="fr-CA"/>
        </w:rPr>
        <w:t xml:space="preserve"> requérant qui demande une indemnité signifie à l’intimé, dans un seul document, un avis d’arbitrage et une demande d’indemnité et dépose auprès du Tribunal une preuve de signification de l’avis dans les dix jours qui suivent la date de la signification. L’avis et la demande doivent être déposés sous forme électronique (conformément à la règle 5) et indiquer :</w:t>
      </w:r>
    </w:p>
    <w:p w14:paraId="2740C03E" w14:textId="77777777" w:rsidR="00A51AE5" w:rsidRPr="001A6340" w:rsidRDefault="00A51AE5" w:rsidP="00A51AE5">
      <w:pPr>
        <w:rPr>
          <w:rFonts w:cs="Arial"/>
          <w:sz w:val="24"/>
          <w:lang w:val="fr-CA"/>
        </w:rPr>
      </w:pPr>
    </w:p>
    <w:p w14:paraId="7A1BD4B3" w14:textId="77777777" w:rsidR="00A51AE5" w:rsidRPr="001A6340" w:rsidRDefault="00A51AE5" w:rsidP="00A51AE5">
      <w:pPr>
        <w:numPr>
          <w:ilvl w:val="0"/>
          <w:numId w:val="1"/>
        </w:numPr>
        <w:rPr>
          <w:rFonts w:cs="Arial"/>
          <w:sz w:val="24"/>
          <w:lang w:val="fr-CA"/>
        </w:rPr>
      </w:pPr>
      <w:proofErr w:type="gramStart"/>
      <w:r w:rsidRPr="001A6340">
        <w:rPr>
          <w:rFonts w:cs="Arial"/>
          <w:sz w:val="24"/>
          <w:lang w:val="fr-CA"/>
        </w:rPr>
        <w:t>le</w:t>
      </w:r>
      <w:proofErr w:type="gramEnd"/>
      <w:r w:rsidRPr="001A6340">
        <w:rPr>
          <w:rFonts w:cs="Arial"/>
          <w:sz w:val="24"/>
          <w:lang w:val="fr-CA"/>
        </w:rPr>
        <w:t xml:space="preserve"> montant de l’indemnité demandée;</w:t>
      </w:r>
    </w:p>
    <w:p w14:paraId="18BBD07D" w14:textId="77777777" w:rsidR="00A51AE5" w:rsidRPr="001A6340" w:rsidRDefault="00A51AE5" w:rsidP="00A51AE5">
      <w:pPr>
        <w:numPr>
          <w:ilvl w:val="0"/>
          <w:numId w:val="1"/>
        </w:numPr>
        <w:rPr>
          <w:rFonts w:cs="Arial"/>
          <w:sz w:val="24"/>
          <w:lang w:val="fr-CA"/>
        </w:rPr>
      </w:pPr>
      <w:proofErr w:type="gramStart"/>
      <w:r w:rsidRPr="001A6340">
        <w:rPr>
          <w:rFonts w:cs="Arial"/>
          <w:sz w:val="24"/>
          <w:lang w:val="fr-CA"/>
        </w:rPr>
        <w:t>la</w:t>
      </w:r>
      <w:proofErr w:type="gramEnd"/>
      <w:r w:rsidRPr="001A6340">
        <w:rPr>
          <w:rFonts w:cs="Arial"/>
          <w:sz w:val="24"/>
          <w:lang w:val="fr-CA"/>
        </w:rPr>
        <w:t xml:space="preserve"> méthode de calcul de ce montant; </w:t>
      </w:r>
    </w:p>
    <w:p w14:paraId="783A0FD1" w14:textId="77777777" w:rsidR="00A51AE5" w:rsidRPr="001A6340" w:rsidRDefault="00A51AE5" w:rsidP="00A51AE5">
      <w:pPr>
        <w:numPr>
          <w:ilvl w:val="0"/>
          <w:numId w:val="1"/>
        </w:numPr>
        <w:rPr>
          <w:rFonts w:cs="Arial"/>
          <w:sz w:val="24"/>
          <w:lang w:val="fr-CA"/>
        </w:rPr>
      </w:pPr>
      <w:proofErr w:type="gramStart"/>
      <w:r w:rsidRPr="001A6340">
        <w:rPr>
          <w:rFonts w:cs="Arial"/>
          <w:sz w:val="24"/>
          <w:lang w:val="fr-CA"/>
        </w:rPr>
        <w:t>les</w:t>
      </w:r>
      <w:proofErr w:type="gramEnd"/>
      <w:r w:rsidRPr="001A6340">
        <w:rPr>
          <w:rFonts w:cs="Arial"/>
          <w:sz w:val="24"/>
          <w:lang w:val="fr-CA"/>
        </w:rPr>
        <w:t xml:space="preserve"> faits à l’appui de chaque élément de l’indemnité demandée.</w:t>
      </w:r>
    </w:p>
    <w:p w14:paraId="667DBEE8" w14:textId="77777777" w:rsidR="00A51AE5" w:rsidRPr="001A6340" w:rsidRDefault="00A51AE5" w:rsidP="00A51AE5">
      <w:pPr>
        <w:rPr>
          <w:rFonts w:cs="Arial"/>
          <w:sz w:val="24"/>
          <w:lang w:val="fr-CA"/>
        </w:rPr>
      </w:pPr>
    </w:p>
    <w:p w14:paraId="0111BF66" w14:textId="453A275F" w:rsidR="00A51AE5" w:rsidRPr="001A6340" w:rsidRDefault="00A51AE5" w:rsidP="00A51AE5">
      <w:pPr>
        <w:rPr>
          <w:rFonts w:cs="Arial"/>
          <w:sz w:val="24"/>
          <w:lang w:val="fr-CA"/>
        </w:rPr>
      </w:pPr>
      <w:r w:rsidRPr="001A6340">
        <w:rPr>
          <w:rFonts w:cs="Arial"/>
          <w:b/>
          <w:bCs/>
          <w:sz w:val="24"/>
          <w:lang w:val="fr-CA"/>
        </w:rPr>
        <w:lastRenderedPageBreak/>
        <w:t>26.</w:t>
      </w:r>
      <w:r w:rsidR="007833F8" w:rsidRPr="001A6340">
        <w:rPr>
          <w:rFonts w:cs="Arial"/>
          <w:b/>
          <w:bCs/>
          <w:sz w:val="24"/>
          <w:lang w:val="fr-CA"/>
        </w:rPr>
        <w:t>12</w:t>
      </w:r>
      <w:r w:rsidRPr="001A6340">
        <w:rPr>
          <w:rFonts w:cs="Arial"/>
          <w:b/>
          <w:bCs/>
          <w:sz w:val="24"/>
          <w:lang w:val="fr-CA"/>
        </w:rPr>
        <w:tab/>
      </w:r>
      <w:r w:rsidRPr="001A6340">
        <w:rPr>
          <w:rFonts w:cs="Arial"/>
          <w:b/>
          <w:sz w:val="24"/>
          <w:u w:val="single"/>
          <w:lang w:val="fr-CA"/>
        </w:rPr>
        <w:t xml:space="preserve">Réponse à l’avis </w:t>
      </w:r>
      <w:proofErr w:type="gramStart"/>
      <w:r w:rsidRPr="001A6340">
        <w:rPr>
          <w:rFonts w:cs="Arial"/>
          <w:b/>
          <w:sz w:val="24"/>
          <w:u w:val="single"/>
          <w:lang w:val="fr-CA"/>
        </w:rPr>
        <w:t>d’arbitrage</w:t>
      </w:r>
      <w:r w:rsidRPr="001A6340">
        <w:rPr>
          <w:rFonts w:cs="Arial"/>
          <w:sz w:val="24"/>
          <w:lang w:val="fr-CA"/>
        </w:rPr>
        <w:t xml:space="preserve">  L’intimé</w:t>
      </w:r>
      <w:proofErr w:type="gramEnd"/>
      <w:r w:rsidRPr="001A6340">
        <w:rPr>
          <w:rFonts w:cs="Arial"/>
          <w:sz w:val="24"/>
          <w:lang w:val="fr-CA"/>
        </w:rPr>
        <w:t xml:space="preserve"> signifie une réponse au requérant dans les 20 jours qui suivent la signification de l’avis d’arbitrage</w:t>
      </w:r>
      <w:r w:rsidR="007833F8" w:rsidRPr="001A6340">
        <w:rPr>
          <w:rFonts w:cs="Arial"/>
          <w:sz w:val="24"/>
          <w:lang w:val="fr-CA"/>
        </w:rPr>
        <w:t>. Dans les dix jours de la date de la signification, l’intimé</w:t>
      </w:r>
      <w:r w:rsidRPr="001A6340">
        <w:rPr>
          <w:rFonts w:cs="Arial"/>
          <w:sz w:val="24"/>
          <w:lang w:val="fr-CA"/>
        </w:rPr>
        <w:t xml:space="preserve"> dépose </w:t>
      </w:r>
      <w:r w:rsidR="007833F8" w:rsidRPr="001A6340">
        <w:rPr>
          <w:rFonts w:cs="Arial"/>
          <w:sz w:val="24"/>
          <w:lang w:val="fr-CA"/>
        </w:rPr>
        <w:t>a</w:t>
      </w:r>
      <w:r w:rsidRPr="001A6340">
        <w:rPr>
          <w:rFonts w:cs="Arial"/>
          <w:sz w:val="24"/>
          <w:lang w:val="fr-CA"/>
        </w:rPr>
        <w:t>u Tribunal une copie de la réponse sous forme électronique accompagnée d’une preuve de la signification au requérant.</w:t>
      </w:r>
    </w:p>
    <w:p w14:paraId="20E85BDC" w14:textId="77777777" w:rsidR="00A51AE5" w:rsidRPr="001A6340" w:rsidRDefault="00A51AE5" w:rsidP="00A51AE5">
      <w:pPr>
        <w:rPr>
          <w:rFonts w:cs="Arial"/>
          <w:sz w:val="24"/>
          <w:lang w:val="fr-CA"/>
        </w:rPr>
      </w:pPr>
    </w:p>
    <w:p w14:paraId="0D18DC6B" w14:textId="06CCD3F2" w:rsidR="00A51AE5" w:rsidRPr="001A6340" w:rsidRDefault="00A51AE5" w:rsidP="00A51AE5">
      <w:pPr>
        <w:rPr>
          <w:rFonts w:cs="Arial"/>
          <w:sz w:val="24"/>
          <w:lang w:val="fr-CA"/>
        </w:rPr>
      </w:pPr>
      <w:r w:rsidRPr="001A6340">
        <w:rPr>
          <w:rFonts w:cs="Arial"/>
          <w:b/>
          <w:bCs/>
          <w:sz w:val="24"/>
          <w:lang w:val="fr-CA"/>
        </w:rPr>
        <w:t>26.</w:t>
      </w:r>
      <w:r w:rsidR="007833F8" w:rsidRPr="001A6340">
        <w:rPr>
          <w:rFonts w:cs="Arial"/>
          <w:b/>
          <w:bCs/>
          <w:sz w:val="24"/>
          <w:lang w:val="fr-CA"/>
        </w:rPr>
        <w:t>13</w:t>
      </w:r>
      <w:r w:rsidRPr="001A6340">
        <w:rPr>
          <w:rFonts w:cs="Arial"/>
          <w:b/>
          <w:bCs/>
          <w:sz w:val="24"/>
          <w:lang w:val="fr-CA"/>
        </w:rPr>
        <w:tab/>
      </w:r>
      <w:r w:rsidRPr="001A6340">
        <w:rPr>
          <w:rFonts w:cs="Arial"/>
          <w:b/>
          <w:sz w:val="24"/>
          <w:u w:val="single"/>
          <w:lang w:val="fr-CA"/>
        </w:rPr>
        <w:t xml:space="preserve">Avis d’arbitrage par </w:t>
      </w:r>
      <w:proofErr w:type="gramStart"/>
      <w:r w:rsidRPr="001A6340">
        <w:rPr>
          <w:rFonts w:cs="Arial"/>
          <w:b/>
          <w:sz w:val="24"/>
          <w:u w:val="single"/>
          <w:lang w:val="fr-CA"/>
        </w:rPr>
        <w:t>l’intimé</w:t>
      </w:r>
      <w:r w:rsidRPr="001A6340">
        <w:rPr>
          <w:rFonts w:cs="Arial"/>
          <w:sz w:val="24"/>
          <w:lang w:val="fr-CA"/>
        </w:rPr>
        <w:t xml:space="preserve">  Si</w:t>
      </w:r>
      <w:proofErr w:type="gramEnd"/>
      <w:r w:rsidRPr="001A6340">
        <w:rPr>
          <w:rFonts w:cs="Arial"/>
          <w:sz w:val="24"/>
          <w:lang w:val="fr-CA"/>
        </w:rPr>
        <w:t xml:space="preserve"> le requérant n’a pas signifié d’avis d’arbitrage aux termes de la règle 26.</w:t>
      </w:r>
      <w:r w:rsidR="007833F8" w:rsidRPr="001A6340">
        <w:rPr>
          <w:rFonts w:cs="Arial"/>
          <w:sz w:val="24"/>
          <w:lang w:val="fr-CA"/>
        </w:rPr>
        <w:t>12</w:t>
      </w:r>
      <w:r w:rsidRPr="001A6340">
        <w:rPr>
          <w:rFonts w:cs="Arial"/>
          <w:sz w:val="24"/>
          <w:lang w:val="fr-CA"/>
        </w:rPr>
        <w:t>, l’intimé peut signifier au requérant un avis d’arbitrage</w:t>
      </w:r>
      <w:r w:rsidR="007833F8" w:rsidRPr="001A6340">
        <w:rPr>
          <w:rFonts w:cs="Arial"/>
          <w:sz w:val="24"/>
          <w:lang w:val="fr-CA"/>
        </w:rPr>
        <w:t xml:space="preserve">. Dans les dix jours de la date de la signification, l’intimé dépose au Tribunal une copie de l’avis d’arbitrage sous forme électronique (conformément à la règle 5) avec la </w:t>
      </w:r>
      <w:r w:rsidRPr="001A6340">
        <w:rPr>
          <w:rFonts w:cs="Arial"/>
          <w:sz w:val="24"/>
          <w:lang w:val="fr-CA"/>
        </w:rPr>
        <w:t xml:space="preserve">preuve de la signification </w:t>
      </w:r>
      <w:r w:rsidR="007833F8" w:rsidRPr="001A6340">
        <w:rPr>
          <w:rFonts w:cs="Arial"/>
          <w:sz w:val="24"/>
          <w:lang w:val="fr-CA"/>
        </w:rPr>
        <w:t>au requérant</w:t>
      </w:r>
      <w:r w:rsidRPr="001A6340">
        <w:rPr>
          <w:rFonts w:cs="Arial"/>
          <w:sz w:val="24"/>
          <w:lang w:val="fr-CA"/>
        </w:rPr>
        <w:t>.</w:t>
      </w:r>
    </w:p>
    <w:p w14:paraId="0DCCBD84" w14:textId="77777777" w:rsidR="00A51AE5" w:rsidRPr="001A6340" w:rsidRDefault="00A51AE5" w:rsidP="00A51AE5">
      <w:pPr>
        <w:rPr>
          <w:rFonts w:cs="Arial"/>
          <w:sz w:val="24"/>
          <w:lang w:val="fr-CA"/>
        </w:rPr>
      </w:pPr>
    </w:p>
    <w:p w14:paraId="028F3B79" w14:textId="0010DE50" w:rsidR="00A51AE5" w:rsidRPr="001A6340" w:rsidRDefault="00A51AE5" w:rsidP="00A51AE5">
      <w:pPr>
        <w:rPr>
          <w:rFonts w:cs="Arial"/>
          <w:sz w:val="24"/>
          <w:lang w:val="fr-CA"/>
        </w:rPr>
      </w:pPr>
      <w:r w:rsidRPr="001A6340">
        <w:rPr>
          <w:rFonts w:cs="Arial"/>
          <w:b/>
          <w:bCs/>
          <w:sz w:val="24"/>
          <w:lang w:val="fr-CA"/>
        </w:rPr>
        <w:t>26.</w:t>
      </w:r>
      <w:r w:rsidR="007833F8" w:rsidRPr="001A6340">
        <w:rPr>
          <w:rFonts w:cs="Arial"/>
          <w:b/>
          <w:bCs/>
          <w:sz w:val="24"/>
          <w:lang w:val="fr-CA"/>
        </w:rPr>
        <w:t>14</w:t>
      </w:r>
      <w:r w:rsidRPr="001A6340">
        <w:rPr>
          <w:rFonts w:cs="Arial"/>
          <w:b/>
          <w:bCs/>
          <w:sz w:val="24"/>
          <w:lang w:val="fr-CA"/>
        </w:rPr>
        <w:tab/>
      </w:r>
      <w:r w:rsidRPr="001A6340">
        <w:rPr>
          <w:rFonts w:cs="Arial"/>
          <w:b/>
          <w:sz w:val="24"/>
          <w:u w:val="single"/>
          <w:lang w:val="fr-CA"/>
        </w:rPr>
        <w:t xml:space="preserve">Signification de la demande </w:t>
      </w:r>
      <w:proofErr w:type="gramStart"/>
      <w:r w:rsidRPr="001A6340">
        <w:rPr>
          <w:rFonts w:cs="Arial"/>
          <w:b/>
          <w:sz w:val="24"/>
          <w:u w:val="single"/>
          <w:lang w:val="fr-CA"/>
        </w:rPr>
        <w:t>d’indemnité</w:t>
      </w:r>
      <w:r w:rsidRPr="001A6340">
        <w:rPr>
          <w:rFonts w:cs="Arial"/>
          <w:sz w:val="24"/>
          <w:lang w:val="fr-CA"/>
        </w:rPr>
        <w:t xml:space="preserve">  Si</w:t>
      </w:r>
      <w:proofErr w:type="gramEnd"/>
      <w:r w:rsidRPr="001A6340">
        <w:rPr>
          <w:rFonts w:cs="Arial"/>
          <w:sz w:val="24"/>
          <w:lang w:val="fr-CA"/>
        </w:rPr>
        <w:t xml:space="preserve"> un avis d’arbitrage a été signifié par l’intimé, le requérant a 20 jours pour signifier une demande d’indemnité, à moins que le Tribunal ait fixé un délai différent. </w:t>
      </w:r>
      <w:r w:rsidR="007833F8" w:rsidRPr="001A6340">
        <w:rPr>
          <w:rFonts w:cs="Arial"/>
          <w:sz w:val="24"/>
          <w:lang w:val="fr-CA"/>
        </w:rPr>
        <w:t xml:space="preserve">Dans les dix jours de la date de la signification, le requérant dépose au Tribunal une copie de la demande d’indemnité sous forme électronique avec la preuve de la signification à l’intimé. </w:t>
      </w:r>
      <w:r w:rsidRPr="001A6340">
        <w:rPr>
          <w:rFonts w:cs="Arial"/>
          <w:sz w:val="24"/>
          <w:lang w:val="fr-CA"/>
        </w:rPr>
        <w:t xml:space="preserve">Le Tribunal ne fixe pas de date d’audience d’arbitrage tant que le requérant n’a pas déposé </w:t>
      </w:r>
      <w:r w:rsidR="00D01150" w:rsidRPr="001A6340">
        <w:rPr>
          <w:rFonts w:cs="Arial"/>
          <w:sz w:val="24"/>
          <w:lang w:val="fr-CA"/>
        </w:rPr>
        <w:t>a</w:t>
      </w:r>
      <w:r w:rsidRPr="001A6340">
        <w:rPr>
          <w:rFonts w:cs="Arial"/>
          <w:sz w:val="24"/>
          <w:lang w:val="fr-CA"/>
        </w:rPr>
        <w:t>u Tribunal et signifié à l’intimé une demande d’indemnité dans le délai imposé par le Tribunal, sauf</w:t>
      </w:r>
      <w:r w:rsidR="00D01150" w:rsidRPr="001A6340">
        <w:rPr>
          <w:rFonts w:cs="Arial"/>
          <w:sz w:val="24"/>
          <w:lang w:val="fr-CA"/>
        </w:rPr>
        <w:t xml:space="preserve"> instructions contraires </w:t>
      </w:r>
      <w:r w:rsidRPr="001A6340">
        <w:rPr>
          <w:rFonts w:cs="Arial"/>
          <w:sz w:val="24"/>
          <w:lang w:val="fr-CA"/>
        </w:rPr>
        <w:t>du Tribunal.</w:t>
      </w:r>
    </w:p>
    <w:p w14:paraId="4BE949DD" w14:textId="77777777" w:rsidR="00A51AE5" w:rsidRPr="001A6340" w:rsidRDefault="00A51AE5" w:rsidP="00A51AE5">
      <w:pPr>
        <w:rPr>
          <w:rFonts w:cs="Arial"/>
          <w:sz w:val="24"/>
          <w:lang w:val="fr-CA"/>
        </w:rPr>
      </w:pPr>
    </w:p>
    <w:p w14:paraId="4FC38E9F" w14:textId="67611537" w:rsidR="00A51AE5" w:rsidRPr="001A6340" w:rsidRDefault="00A51AE5" w:rsidP="00A51AE5">
      <w:pPr>
        <w:rPr>
          <w:rFonts w:cs="Arial"/>
          <w:sz w:val="24"/>
          <w:lang w:val="fr-CA"/>
        </w:rPr>
      </w:pPr>
      <w:r w:rsidRPr="001A6340">
        <w:rPr>
          <w:rFonts w:cs="Arial"/>
          <w:b/>
          <w:bCs/>
          <w:sz w:val="24"/>
          <w:lang w:val="fr-CA"/>
        </w:rPr>
        <w:t>26.</w:t>
      </w:r>
      <w:r w:rsidR="00D01150" w:rsidRPr="001A6340">
        <w:rPr>
          <w:rFonts w:cs="Arial"/>
          <w:b/>
          <w:bCs/>
          <w:sz w:val="24"/>
          <w:lang w:val="fr-CA"/>
        </w:rPr>
        <w:t>15</w:t>
      </w:r>
      <w:r w:rsidRPr="001A6340">
        <w:rPr>
          <w:rFonts w:cs="Arial"/>
          <w:b/>
          <w:bCs/>
          <w:sz w:val="24"/>
          <w:lang w:val="fr-CA"/>
        </w:rPr>
        <w:tab/>
      </w:r>
      <w:r w:rsidRPr="001A6340">
        <w:rPr>
          <w:rFonts w:cs="Arial"/>
          <w:b/>
          <w:sz w:val="24"/>
          <w:u w:val="single"/>
          <w:lang w:val="fr-CA"/>
        </w:rPr>
        <w:t xml:space="preserve">Signification de la réponse à la demande </w:t>
      </w:r>
      <w:proofErr w:type="gramStart"/>
      <w:r w:rsidRPr="001A6340">
        <w:rPr>
          <w:rFonts w:cs="Arial"/>
          <w:b/>
          <w:sz w:val="24"/>
          <w:u w:val="single"/>
          <w:lang w:val="fr-CA"/>
        </w:rPr>
        <w:t>d’indemnité</w:t>
      </w:r>
      <w:r w:rsidRPr="001A6340">
        <w:rPr>
          <w:rFonts w:cs="Arial"/>
          <w:sz w:val="24"/>
          <w:lang w:val="fr-CA"/>
        </w:rPr>
        <w:t xml:space="preserve">  Si</w:t>
      </w:r>
      <w:proofErr w:type="gramEnd"/>
      <w:r w:rsidRPr="001A6340">
        <w:rPr>
          <w:rFonts w:cs="Arial"/>
          <w:sz w:val="24"/>
          <w:lang w:val="fr-CA"/>
        </w:rPr>
        <w:t xml:space="preserve"> un requérant a signifié une demande d’indemnité aux termes de la règle 26.</w:t>
      </w:r>
      <w:r w:rsidR="00D01150" w:rsidRPr="001A6340">
        <w:rPr>
          <w:rFonts w:cs="Arial"/>
          <w:sz w:val="24"/>
          <w:lang w:val="fr-CA"/>
        </w:rPr>
        <w:t>14</w:t>
      </w:r>
      <w:r w:rsidRPr="001A6340">
        <w:rPr>
          <w:rFonts w:cs="Arial"/>
          <w:sz w:val="24"/>
          <w:lang w:val="fr-CA"/>
        </w:rPr>
        <w:t xml:space="preserve">, l’intimé signifie une réponse dans les 20 jours qui suivent la signification de la demande </w:t>
      </w:r>
      <w:r w:rsidR="00D01150" w:rsidRPr="001A6340">
        <w:rPr>
          <w:rFonts w:cs="Arial"/>
          <w:sz w:val="24"/>
          <w:lang w:val="fr-CA"/>
        </w:rPr>
        <w:t xml:space="preserve">d’indemnité. Dans les dix jours de la date de la signification, l’intimé </w:t>
      </w:r>
      <w:r w:rsidRPr="001A6340">
        <w:rPr>
          <w:rFonts w:cs="Arial"/>
          <w:sz w:val="24"/>
          <w:lang w:val="fr-CA"/>
        </w:rPr>
        <w:t xml:space="preserve">dépose au Tribunal une copie de la réponse </w:t>
      </w:r>
      <w:r w:rsidR="00D01150" w:rsidRPr="001A6340">
        <w:rPr>
          <w:rFonts w:cs="Arial"/>
          <w:sz w:val="24"/>
          <w:lang w:val="fr-CA"/>
        </w:rPr>
        <w:t xml:space="preserve">sous forme électronique avec la preuve de la signification </w:t>
      </w:r>
      <w:r w:rsidRPr="001A6340">
        <w:rPr>
          <w:rFonts w:cs="Arial"/>
          <w:sz w:val="24"/>
          <w:lang w:val="fr-CA"/>
        </w:rPr>
        <w:t>au requérant.</w:t>
      </w:r>
    </w:p>
    <w:p w14:paraId="1C434F11" w14:textId="77777777" w:rsidR="00A51AE5" w:rsidRPr="001A6340" w:rsidRDefault="00A51AE5" w:rsidP="00A51AE5">
      <w:pPr>
        <w:rPr>
          <w:rFonts w:cs="Arial"/>
          <w:sz w:val="24"/>
          <w:lang w:val="fr-CA"/>
        </w:rPr>
      </w:pPr>
    </w:p>
    <w:p w14:paraId="5D3D08D4" w14:textId="1277D811" w:rsidR="00A51AE5" w:rsidRPr="001A6340" w:rsidRDefault="00A51AE5" w:rsidP="00A51AE5">
      <w:pPr>
        <w:rPr>
          <w:rFonts w:cs="Arial"/>
          <w:sz w:val="24"/>
          <w:lang w:val="fr-CA"/>
        </w:rPr>
      </w:pPr>
      <w:r w:rsidRPr="001A6340">
        <w:rPr>
          <w:rFonts w:cs="Arial"/>
          <w:b/>
          <w:bCs/>
          <w:sz w:val="24"/>
          <w:lang w:val="fr-CA"/>
        </w:rPr>
        <w:t>26.</w:t>
      </w:r>
      <w:r w:rsidR="00D01150" w:rsidRPr="001A6340">
        <w:rPr>
          <w:rFonts w:cs="Arial"/>
          <w:b/>
          <w:bCs/>
          <w:sz w:val="24"/>
          <w:lang w:val="fr-CA"/>
        </w:rPr>
        <w:t>16</w:t>
      </w:r>
      <w:r w:rsidRPr="001A6340">
        <w:rPr>
          <w:rFonts w:cs="Arial"/>
          <w:b/>
          <w:bCs/>
          <w:sz w:val="24"/>
          <w:lang w:val="fr-CA"/>
        </w:rPr>
        <w:tab/>
      </w:r>
      <w:r w:rsidRPr="001A6340">
        <w:rPr>
          <w:rFonts w:cs="Arial"/>
          <w:b/>
          <w:sz w:val="24"/>
          <w:u w:val="single"/>
          <w:lang w:val="fr-CA"/>
        </w:rPr>
        <w:t xml:space="preserve">Déni indiqué dans la </w:t>
      </w:r>
      <w:proofErr w:type="gramStart"/>
      <w:r w:rsidRPr="001A6340">
        <w:rPr>
          <w:rFonts w:cs="Arial"/>
          <w:b/>
          <w:sz w:val="24"/>
          <w:u w:val="single"/>
          <w:lang w:val="fr-CA"/>
        </w:rPr>
        <w:t>réponse</w:t>
      </w:r>
      <w:r w:rsidRPr="001A6340">
        <w:rPr>
          <w:rFonts w:cs="Arial"/>
          <w:sz w:val="24"/>
          <w:lang w:val="fr-CA"/>
        </w:rPr>
        <w:t xml:space="preserve">  Si</w:t>
      </w:r>
      <w:proofErr w:type="gramEnd"/>
      <w:r w:rsidRPr="001A6340">
        <w:rPr>
          <w:rFonts w:cs="Arial"/>
          <w:sz w:val="24"/>
          <w:lang w:val="fr-CA"/>
        </w:rPr>
        <w:t xml:space="preserve"> l’intimé nie que le requérant a droit à une indemnité, en faisant valoir, selon le cas :</w:t>
      </w:r>
    </w:p>
    <w:p w14:paraId="09889C10" w14:textId="77777777" w:rsidR="00A51AE5" w:rsidRPr="001A6340" w:rsidRDefault="00A51AE5" w:rsidP="00A51AE5">
      <w:pPr>
        <w:rPr>
          <w:rFonts w:cs="Arial"/>
          <w:sz w:val="24"/>
          <w:lang w:val="fr-CA"/>
        </w:rPr>
      </w:pPr>
    </w:p>
    <w:p w14:paraId="58D7CCA1" w14:textId="77777777" w:rsidR="00A51AE5" w:rsidRPr="001A6340" w:rsidRDefault="00A51AE5" w:rsidP="00A51AE5">
      <w:pPr>
        <w:numPr>
          <w:ilvl w:val="0"/>
          <w:numId w:val="2"/>
        </w:numPr>
        <w:rPr>
          <w:rFonts w:cs="Arial"/>
          <w:sz w:val="24"/>
          <w:lang w:val="fr-CA"/>
        </w:rPr>
      </w:pPr>
      <w:proofErr w:type="gramStart"/>
      <w:r w:rsidRPr="001A6340">
        <w:rPr>
          <w:rFonts w:cs="Arial"/>
          <w:sz w:val="24"/>
          <w:lang w:val="fr-CA"/>
        </w:rPr>
        <w:t>que</w:t>
      </w:r>
      <w:proofErr w:type="gramEnd"/>
      <w:r w:rsidRPr="001A6340">
        <w:rPr>
          <w:rFonts w:cs="Arial"/>
          <w:sz w:val="24"/>
          <w:lang w:val="fr-CA"/>
        </w:rPr>
        <w:t xml:space="preserve"> le requérant n’a pas d’intérêt dans les biens-fonds expropriés ni n’a subi d’effet préjudiciable,</w:t>
      </w:r>
    </w:p>
    <w:p w14:paraId="69D22CE1" w14:textId="77777777" w:rsidR="00A51AE5" w:rsidRPr="001A6340" w:rsidRDefault="00A51AE5" w:rsidP="00A51AE5">
      <w:pPr>
        <w:numPr>
          <w:ilvl w:val="0"/>
          <w:numId w:val="2"/>
        </w:numPr>
        <w:rPr>
          <w:rFonts w:cs="Arial"/>
          <w:sz w:val="24"/>
          <w:lang w:val="fr-CA"/>
        </w:rPr>
      </w:pPr>
      <w:proofErr w:type="gramStart"/>
      <w:r w:rsidRPr="001A6340">
        <w:rPr>
          <w:rFonts w:cs="Arial"/>
          <w:sz w:val="24"/>
          <w:lang w:val="fr-CA"/>
        </w:rPr>
        <w:t>qu’aucune</w:t>
      </w:r>
      <w:proofErr w:type="gramEnd"/>
      <w:r w:rsidRPr="001A6340">
        <w:rPr>
          <w:rFonts w:cs="Arial"/>
          <w:sz w:val="24"/>
          <w:lang w:val="fr-CA"/>
        </w:rPr>
        <w:t xml:space="preserve"> indemnisation n’est exigible eu égard à l’intérêt du requérant dans les biens</w:t>
      </w:r>
      <w:r w:rsidRPr="001A6340">
        <w:rPr>
          <w:rFonts w:cs="Arial"/>
          <w:sz w:val="24"/>
          <w:lang w:val="fr-CA"/>
        </w:rPr>
        <w:noBreakHyphen/>
        <w:t>fonds expropriés,</w:t>
      </w:r>
    </w:p>
    <w:p w14:paraId="3F109F43" w14:textId="77777777" w:rsidR="00A51AE5" w:rsidRPr="001A6340" w:rsidRDefault="00A51AE5" w:rsidP="00A51AE5">
      <w:pPr>
        <w:numPr>
          <w:ilvl w:val="0"/>
          <w:numId w:val="2"/>
        </w:numPr>
        <w:rPr>
          <w:rFonts w:cs="Arial"/>
          <w:sz w:val="24"/>
          <w:lang w:val="fr-CA"/>
        </w:rPr>
      </w:pPr>
      <w:proofErr w:type="gramStart"/>
      <w:r w:rsidRPr="001A6340">
        <w:rPr>
          <w:rFonts w:cs="Arial"/>
          <w:sz w:val="24"/>
          <w:lang w:val="fr-CA"/>
        </w:rPr>
        <w:t>que</w:t>
      </w:r>
      <w:proofErr w:type="gramEnd"/>
      <w:r w:rsidRPr="001A6340">
        <w:rPr>
          <w:rFonts w:cs="Arial"/>
          <w:sz w:val="24"/>
          <w:lang w:val="fr-CA"/>
        </w:rPr>
        <w:t xml:space="preserve"> la demande est interdite par une disposition de la Loi ou d’une autre loi, </w:t>
      </w:r>
    </w:p>
    <w:p w14:paraId="7BBA99EA" w14:textId="77777777" w:rsidR="00A51AE5" w:rsidRPr="001A6340" w:rsidRDefault="00A51AE5" w:rsidP="00A51AE5">
      <w:pPr>
        <w:rPr>
          <w:rFonts w:cs="Arial"/>
          <w:sz w:val="24"/>
          <w:lang w:val="fr-CA"/>
        </w:rPr>
      </w:pPr>
    </w:p>
    <w:p w14:paraId="40AF9846" w14:textId="1AA8CC09" w:rsidR="00A51AE5" w:rsidRPr="001A6340" w:rsidRDefault="00A51AE5" w:rsidP="00A51AE5">
      <w:pPr>
        <w:rPr>
          <w:rFonts w:cs="Arial"/>
          <w:sz w:val="24"/>
          <w:lang w:val="fr-CA"/>
        </w:rPr>
      </w:pPr>
      <w:proofErr w:type="gramStart"/>
      <w:r w:rsidRPr="001A6340">
        <w:rPr>
          <w:rFonts w:cs="Arial"/>
          <w:sz w:val="24"/>
          <w:lang w:val="fr-CA"/>
        </w:rPr>
        <w:t>il</w:t>
      </w:r>
      <w:proofErr w:type="gramEnd"/>
      <w:r w:rsidRPr="001A6340">
        <w:rPr>
          <w:rFonts w:cs="Arial"/>
          <w:sz w:val="24"/>
          <w:lang w:val="fr-CA"/>
        </w:rPr>
        <w:t xml:space="preserve"> doit soulever ce déni dans sa réponse en énonçant les faits pertinents et les dispositions légales sur lesquelles il se fonde, faute de quoi l’intimé ne pourra pas soulever ce déni à l’audience d’arbitrage sauf si le Tribunal l’autorise.</w:t>
      </w:r>
    </w:p>
    <w:p w14:paraId="2B718F6C" w14:textId="77777777" w:rsidR="00A51AE5" w:rsidRPr="001A6340" w:rsidRDefault="00A51AE5" w:rsidP="00A51AE5">
      <w:pPr>
        <w:rPr>
          <w:rFonts w:cs="Arial"/>
          <w:sz w:val="24"/>
          <w:lang w:val="fr-CA"/>
        </w:rPr>
      </w:pPr>
    </w:p>
    <w:p w14:paraId="3E97DB7B" w14:textId="58A83029" w:rsidR="00A51AE5" w:rsidRPr="001A6340" w:rsidRDefault="00A51AE5" w:rsidP="00A51AE5">
      <w:pPr>
        <w:rPr>
          <w:rFonts w:cs="Arial"/>
          <w:sz w:val="24"/>
          <w:lang w:val="fr-CA"/>
        </w:rPr>
      </w:pPr>
      <w:r w:rsidRPr="001A6340">
        <w:rPr>
          <w:rFonts w:cs="Arial"/>
          <w:b/>
          <w:bCs/>
          <w:sz w:val="24"/>
          <w:lang w:val="fr-CA"/>
        </w:rPr>
        <w:t>26.</w:t>
      </w:r>
      <w:r w:rsidR="00D01150" w:rsidRPr="001A6340">
        <w:rPr>
          <w:rFonts w:cs="Arial"/>
          <w:b/>
          <w:bCs/>
          <w:sz w:val="24"/>
          <w:lang w:val="fr-CA"/>
        </w:rPr>
        <w:t>17</w:t>
      </w:r>
      <w:r w:rsidRPr="001A6340">
        <w:rPr>
          <w:rFonts w:cs="Arial"/>
          <w:b/>
          <w:bCs/>
          <w:sz w:val="24"/>
          <w:lang w:val="fr-CA"/>
        </w:rPr>
        <w:tab/>
      </w:r>
      <w:proofErr w:type="gramStart"/>
      <w:r w:rsidRPr="001A6340">
        <w:rPr>
          <w:rFonts w:cs="Arial"/>
          <w:b/>
          <w:sz w:val="24"/>
          <w:u w:val="single"/>
          <w:lang w:val="fr-CA"/>
        </w:rPr>
        <w:t>Formulaires</w:t>
      </w:r>
      <w:r w:rsidRPr="001A6340">
        <w:rPr>
          <w:rFonts w:cs="Arial"/>
          <w:sz w:val="24"/>
          <w:lang w:val="fr-CA"/>
        </w:rPr>
        <w:t xml:space="preserve">  L’offre</w:t>
      </w:r>
      <w:proofErr w:type="gramEnd"/>
      <w:r w:rsidRPr="001A6340">
        <w:rPr>
          <w:rFonts w:cs="Arial"/>
          <w:sz w:val="24"/>
          <w:lang w:val="fr-CA"/>
        </w:rPr>
        <w:t xml:space="preserve"> d’indemnité et l’acceptation d’une offre d’indemnité présentées en vertu de l’article 25 de la </w:t>
      </w:r>
      <w:r w:rsidRPr="001A6340">
        <w:rPr>
          <w:rFonts w:cs="Arial"/>
          <w:i/>
          <w:iCs/>
          <w:sz w:val="24"/>
          <w:lang w:val="fr-CA"/>
        </w:rPr>
        <w:t>Loi</w:t>
      </w:r>
      <w:r w:rsidRPr="001A6340">
        <w:rPr>
          <w:rFonts w:cs="Arial"/>
          <w:sz w:val="24"/>
          <w:lang w:val="fr-CA"/>
        </w:rPr>
        <w:t xml:space="preserve"> peuvent être rédigées sur les formulaires prévus au Règlement 363, R.R.O. 1990. Une acceptation peut être signifiée à la personne nommée dans l’offre d’indemnité pour la recevoir.</w:t>
      </w:r>
    </w:p>
    <w:p w14:paraId="62CBCED4" w14:textId="77777777" w:rsidR="00A51AE5" w:rsidRPr="001A6340" w:rsidRDefault="00A51AE5" w:rsidP="00A51AE5">
      <w:pPr>
        <w:rPr>
          <w:rFonts w:cs="Arial"/>
          <w:sz w:val="24"/>
          <w:lang w:val="fr-CA"/>
        </w:rPr>
      </w:pPr>
    </w:p>
    <w:p w14:paraId="3FCA905B" w14:textId="474C8C41" w:rsidR="00A51AE5" w:rsidRPr="001A6340" w:rsidRDefault="00A51AE5" w:rsidP="00A51AE5">
      <w:pPr>
        <w:rPr>
          <w:rFonts w:cs="Arial"/>
          <w:sz w:val="24"/>
          <w:lang w:val="fr-CA"/>
        </w:rPr>
      </w:pPr>
      <w:r w:rsidRPr="001A6340">
        <w:rPr>
          <w:rFonts w:cs="Arial"/>
          <w:b/>
          <w:bCs/>
          <w:sz w:val="24"/>
          <w:lang w:val="fr-CA"/>
        </w:rPr>
        <w:lastRenderedPageBreak/>
        <w:t>26.</w:t>
      </w:r>
      <w:r w:rsidR="00D01150" w:rsidRPr="001A6340">
        <w:rPr>
          <w:rFonts w:cs="Arial"/>
          <w:b/>
          <w:bCs/>
          <w:sz w:val="24"/>
          <w:lang w:val="fr-CA"/>
        </w:rPr>
        <w:t>18</w:t>
      </w:r>
      <w:r w:rsidRPr="001A6340">
        <w:rPr>
          <w:rFonts w:cs="Arial"/>
          <w:b/>
          <w:bCs/>
          <w:sz w:val="24"/>
          <w:lang w:val="fr-CA"/>
        </w:rPr>
        <w:tab/>
      </w:r>
      <w:r w:rsidRPr="001A6340">
        <w:rPr>
          <w:rFonts w:cs="Arial"/>
          <w:b/>
          <w:sz w:val="24"/>
          <w:u w:val="single"/>
          <w:lang w:val="fr-CA"/>
        </w:rPr>
        <w:t xml:space="preserve">Règle générale pour la signification des </w:t>
      </w:r>
      <w:proofErr w:type="gramStart"/>
      <w:r w:rsidRPr="001A6340">
        <w:rPr>
          <w:rFonts w:cs="Arial"/>
          <w:b/>
          <w:sz w:val="24"/>
          <w:u w:val="single"/>
          <w:lang w:val="fr-CA"/>
        </w:rPr>
        <w:t>documents</w:t>
      </w:r>
      <w:r w:rsidRPr="001A6340">
        <w:rPr>
          <w:rFonts w:cs="Arial"/>
          <w:sz w:val="24"/>
          <w:lang w:val="fr-CA"/>
        </w:rPr>
        <w:t xml:space="preserve">  Outre</w:t>
      </w:r>
      <w:proofErr w:type="gramEnd"/>
      <w:r w:rsidRPr="001A6340">
        <w:rPr>
          <w:rFonts w:cs="Arial"/>
          <w:sz w:val="24"/>
          <w:lang w:val="fr-CA"/>
        </w:rPr>
        <w:t xml:space="preserve"> les méthodes énoncées au paragraphe 1(2) de la Loi, les documents peuvent être signifiés de la façon suivante : </w:t>
      </w:r>
    </w:p>
    <w:p w14:paraId="5910B7C4" w14:textId="77777777" w:rsidR="00A51AE5" w:rsidRPr="001A6340" w:rsidRDefault="00A51AE5" w:rsidP="00A51AE5">
      <w:pPr>
        <w:rPr>
          <w:rFonts w:cs="Arial"/>
          <w:sz w:val="24"/>
          <w:lang w:val="fr-CA"/>
        </w:rPr>
      </w:pPr>
    </w:p>
    <w:p w14:paraId="7166C9B2" w14:textId="5EAD8103" w:rsidR="00A51AE5" w:rsidRPr="001A6340" w:rsidRDefault="00A51AE5" w:rsidP="00A51AE5">
      <w:pPr>
        <w:numPr>
          <w:ilvl w:val="0"/>
          <w:numId w:val="3"/>
        </w:numPr>
        <w:rPr>
          <w:rFonts w:cs="Arial"/>
          <w:sz w:val="24"/>
          <w:lang w:val="fr-CA"/>
        </w:rPr>
      </w:pPr>
      <w:proofErr w:type="gramStart"/>
      <w:r w:rsidRPr="001A6340">
        <w:rPr>
          <w:rFonts w:cs="Arial"/>
          <w:sz w:val="24"/>
          <w:lang w:val="fr-CA"/>
        </w:rPr>
        <w:t>dans</w:t>
      </w:r>
      <w:proofErr w:type="gramEnd"/>
      <w:r w:rsidRPr="001A6340">
        <w:rPr>
          <w:rFonts w:cs="Arial"/>
          <w:sz w:val="24"/>
          <w:lang w:val="fr-CA"/>
        </w:rPr>
        <w:t xml:space="preserve"> le cas de sa Majesté </w:t>
      </w:r>
      <w:r w:rsidR="00D01150" w:rsidRPr="001A6340">
        <w:rPr>
          <w:rFonts w:cs="Arial"/>
          <w:sz w:val="24"/>
          <w:lang w:val="fr-CA"/>
        </w:rPr>
        <w:t>le Roi</w:t>
      </w:r>
      <w:r w:rsidRPr="001A6340">
        <w:rPr>
          <w:rFonts w:cs="Arial"/>
          <w:sz w:val="24"/>
          <w:lang w:val="fr-CA"/>
        </w:rPr>
        <w:t xml:space="preserve"> du chef de la province de l’Ontario, de la façon prévue à l’article 15 de la </w:t>
      </w:r>
      <w:r w:rsidRPr="001A6340">
        <w:rPr>
          <w:rFonts w:cs="Arial"/>
          <w:i/>
          <w:sz w:val="24"/>
          <w:lang w:val="fr-CA"/>
        </w:rPr>
        <w:t>Loi de 2019 sur la responsabilité de la Couronne et les instances l’intéressant,</w:t>
      </w:r>
      <w:r w:rsidRPr="001A6340">
        <w:rPr>
          <w:rFonts w:cs="Arial"/>
          <w:iCs/>
          <w:sz w:val="24"/>
          <w:lang w:val="fr-CA"/>
        </w:rPr>
        <w:t xml:space="preserve"> L.R.O. 2019, chap. 7, annexe 17, dans sa version modifiée</w:t>
      </w:r>
      <w:r w:rsidRPr="001A6340">
        <w:rPr>
          <w:rFonts w:cs="Arial"/>
          <w:sz w:val="24"/>
          <w:lang w:val="fr-CA"/>
        </w:rPr>
        <w:t>;</w:t>
      </w:r>
    </w:p>
    <w:p w14:paraId="0F54964C" w14:textId="77777777" w:rsidR="00A51AE5" w:rsidRPr="001A6340" w:rsidRDefault="00A51AE5" w:rsidP="00A51AE5">
      <w:pPr>
        <w:numPr>
          <w:ilvl w:val="0"/>
          <w:numId w:val="3"/>
        </w:numPr>
        <w:rPr>
          <w:rFonts w:cs="Arial"/>
          <w:sz w:val="24"/>
          <w:lang w:val="fr-CA"/>
        </w:rPr>
      </w:pPr>
      <w:proofErr w:type="gramStart"/>
      <w:r w:rsidRPr="001A6340">
        <w:rPr>
          <w:rFonts w:cs="Arial"/>
          <w:sz w:val="24"/>
          <w:lang w:val="fr-CA"/>
        </w:rPr>
        <w:t>dans</w:t>
      </w:r>
      <w:proofErr w:type="gramEnd"/>
      <w:r w:rsidRPr="001A6340">
        <w:rPr>
          <w:rFonts w:cs="Arial"/>
          <w:sz w:val="24"/>
          <w:lang w:val="fr-CA"/>
        </w:rPr>
        <w:t xml:space="preserve"> le cas d’une municipalité ou d’une autre personne morale, d’une société de personnes ou d’un particulier, aux personnes indiquées dans </w:t>
      </w:r>
      <w:r w:rsidRPr="001A6340">
        <w:rPr>
          <w:rFonts w:cs="Arial"/>
          <w:i/>
          <w:sz w:val="24"/>
          <w:lang w:val="fr-CA"/>
        </w:rPr>
        <w:t>les Règles de procédure civile</w:t>
      </w:r>
      <w:r w:rsidRPr="001A6340">
        <w:rPr>
          <w:rFonts w:cs="Arial"/>
          <w:sz w:val="24"/>
          <w:lang w:val="fr-CA"/>
        </w:rPr>
        <w:t>.</w:t>
      </w:r>
    </w:p>
    <w:p w14:paraId="3B1692FD" w14:textId="77777777" w:rsidR="00A51AE5" w:rsidRPr="001A6340" w:rsidRDefault="00A51AE5" w:rsidP="00A51AE5">
      <w:pPr>
        <w:rPr>
          <w:rFonts w:cs="Arial"/>
          <w:sz w:val="24"/>
          <w:lang w:val="fr-CA"/>
        </w:rPr>
      </w:pPr>
    </w:p>
    <w:p w14:paraId="6C11C248" w14:textId="1F53D192" w:rsidR="00A51AE5" w:rsidRPr="001A6340" w:rsidRDefault="00A51AE5" w:rsidP="00A51AE5">
      <w:pPr>
        <w:rPr>
          <w:rFonts w:cs="Arial"/>
          <w:sz w:val="24"/>
          <w:lang w:val="fr-CA"/>
        </w:rPr>
      </w:pPr>
      <w:r w:rsidRPr="001A6340">
        <w:rPr>
          <w:rFonts w:cs="Arial"/>
          <w:b/>
          <w:bCs/>
          <w:sz w:val="24"/>
          <w:lang w:val="fr-CA"/>
        </w:rPr>
        <w:t>26.</w:t>
      </w:r>
      <w:r w:rsidR="00D01150" w:rsidRPr="001A6340">
        <w:rPr>
          <w:rFonts w:cs="Arial"/>
          <w:b/>
          <w:bCs/>
          <w:sz w:val="24"/>
          <w:lang w:val="fr-CA"/>
        </w:rPr>
        <w:t>19</w:t>
      </w:r>
      <w:r w:rsidRPr="001A6340">
        <w:rPr>
          <w:rFonts w:cs="Arial"/>
          <w:b/>
          <w:bCs/>
          <w:sz w:val="24"/>
          <w:lang w:val="fr-CA"/>
        </w:rPr>
        <w:tab/>
      </w:r>
      <w:r w:rsidRPr="001A6340">
        <w:rPr>
          <w:rFonts w:cs="Arial"/>
          <w:b/>
          <w:sz w:val="24"/>
          <w:u w:val="single"/>
          <w:lang w:val="fr-CA"/>
        </w:rPr>
        <w:t xml:space="preserve">Pièces de procédure </w:t>
      </w:r>
      <w:proofErr w:type="gramStart"/>
      <w:r w:rsidRPr="001A6340">
        <w:rPr>
          <w:rFonts w:cs="Arial"/>
          <w:b/>
          <w:sz w:val="24"/>
          <w:u w:val="single"/>
          <w:lang w:val="fr-CA"/>
        </w:rPr>
        <w:t>exigées</w:t>
      </w:r>
      <w:r w:rsidRPr="001A6340">
        <w:rPr>
          <w:rFonts w:cs="Arial"/>
          <w:sz w:val="24"/>
          <w:lang w:val="fr-CA"/>
        </w:rPr>
        <w:t xml:space="preserve">  Les</w:t>
      </w:r>
      <w:proofErr w:type="gramEnd"/>
      <w:r w:rsidRPr="001A6340">
        <w:rPr>
          <w:rFonts w:cs="Arial"/>
          <w:sz w:val="24"/>
          <w:lang w:val="fr-CA"/>
        </w:rPr>
        <w:t xml:space="preserve"> seules pièces de procédure exigées dans un arbitrage pour l’établissement d’une indemnité sont l</w:t>
      </w:r>
      <w:r w:rsidR="00D01150" w:rsidRPr="001A6340">
        <w:rPr>
          <w:rFonts w:cs="Arial"/>
          <w:sz w:val="24"/>
          <w:lang w:val="fr-CA"/>
        </w:rPr>
        <w:t>’avis d’arbitrage et</w:t>
      </w:r>
      <w:r w:rsidRPr="001A6340">
        <w:rPr>
          <w:rFonts w:cs="Arial"/>
          <w:sz w:val="24"/>
          <w:lang w:val="fr-CA"/>
        </w:rPr>
        <w:t xml:space="preserve"> demande d’indemnité et la réponse ou, dans le cas d’une affaire indiquée à la règle 26.</w:t>
      </w:r>
      <w:r w:rsidR="00D01150" w:rsidRPr="001A6340">
        <w:rPr>
          <w:rFonts w:cs="Arial"/>
          <w:sz w:val="24"/>
          <w:lang w:val="fr-CA"/>
        </w:rPr>
        <w:t>13</w:t>
      </w:r>
      <w:r w:rsidRPr="001A6340">
        <w:rPr>
          <w:rFonts w:cs="Arial"/>
          <w:sz w:val="24"/>
          <w:lang w:val="fr-CA"/>
        </w:rPr>
        <w:t>, l’avis d’arbitrage, la demande d’indemnité et la réponse, sauf ordonnance contraire du Tribunal.</w:t>
      </w:r>
    </w:p>
    <w:p w14:paraId="00574437" w14:textId="77777777" w:rsidR="00A51AE5" w:rsidRPr="001A6340" w:rsidRDefault="00A51AE5" w:rsidP="00A51AE5">
      <w:pPr>
        <w:rPr>
          <w:rFonts w:cs="Arial"/>
          <w:sz w:val="24"/>
          <w:lang w:val="fr-CA"/>
        </w:rPr>
      </w:pPr>
    </w:p>
    <w:p w14:paraId="130A42B8" w14:textId="29C18780" w:rsidR="00D01150" w:rsidRPr="001A6340" w:rsidRDefault="00D01150" w:rsidP="00A51AE5">
      <w:pPr>
        <w:rPr>
          <w:rFonts w:cs="Arial"/>
          <w:b/>
          <w:bCs/>
          <w:sz w:val="24"/>
          <w:lang w:val="fr-CA"/>
        </w:rPr>
      </w:pPr>
      <w:r w:rsidRPr="001A6340">
        <w:rPr>
          <w:rFonts w:cs="Arial"/>
          <w:b/>
          <w:bCs/>
          <w:sz w:val="24"/>
          <w:lang w:val="fr-CA"/>
        </w:rPr>
        <w:t>Interrogatoires</w:t>
      </w:r>
    </w:p>
    <w:p w14:paraId="5EF4683A" w14:textId="77777777" w:rsidR="00D01150" w:rsidRPr="001A6340" w:rsidRDefault="00D01150" w:rsidP="00A51AE5">
      <w:pPr>
        <w:rPr>
          <w:rFonts w:cs="Arial"/>
          <w:sz w:val="24"/>
          <w:lang w:val="fr-CA"/>
        </w:rPr>
      </w:pPr>
    </w:p>
    <w:p w14:paraId="2EE08F6E" w14:textId="6D9B8230" w:rsidR="00A51AE5" w:rsidRPr="001A6340" w:rsidRDefault="00A51AE5" w:rsidP="00A51AE5">
      <w:pPr>
        <w:rPr>
          <w:rFonts w:cs="Arial"/>
          <w:sz w:val="24"/>
          <w:lang w:val="fr-CA"/>
        </w:rPr>
      </w:pPr>
      <w:r w:rsidRPr="001A6340">
        <w:rPr>
          <w:rFonts w:cs="Arial"/>
          <w:b/>
          <w:bCs/>
          <w:sz w:val="24"/>
          <w:lang w:val="fr-CA"/>
        </w:rPr>
        <w:t>26.</w:t>
      </w:r>
      <w:r w:rsidR="00D01150" w:rsidRPr="001A6340">
        <w:rPr>
          <w:rFonts w:cs="Arial"/>
          <w:b/>
          <w:bCs/>
          <w:sz w:val="24"/>
          <w:lang w:val="fr-CA"/>
        </w:rPr>
        <w:t>20</w:t>
      </w:r>
      <w:r w:rsidRPr="001A6340">
        <w:rPr>
          <w:rFonts w:cs="Arial"/>
          <w:b/>
          <w:bCs/>
          <w:sz w:val="24"/>
          <w:lang w:val="fr-CA"/>
        </w:rPr>
        <w:tab/>
      </w:r>
      <w:r w:rsidRPr="001A6340">
        <w:rPr>
          <w:rFonts w:cs="Arial"/>
          <w:b/>
          <w:sz w:val="24"/>
          <w:u w:val="single"/>
          <w:lang w:val="fr-CA"/>
        </w:rPr>
        <w:t xml:space="preserve">Interrogatoire du représentant par la partie </w:t>
      </w:r>
      <w:proofErr w:type="gramStart"/>
      <w:r w:rsidRPr="001A6340">
        <w:rPr>
          <w:rFonts w:cs="Arial"/>
          <w:b/>
          <w:sz w:val="24"/>
          <w:u w:val="single"/>
          <w:lang w:val="fr-CA"/>
        </w:rPr>
        <w:t>adverse</w:t>
      </w:r>
      <w:r w:rsidRPr="001A6340">
        <w:rPr>
          <w:rFonts w:cs="Arial"/>
          <w:sz w:val="24"/>
          <w:lang w:val="fr-CA"/>
        </w:rPr>
        <w:t xml:space="preserve">  Une</w:t>
      </w:r>
      <w:proofErr w:type="gramEnd"/>
      <w:r w:rsidRPr="001A6340">
        <w:rPr>
          <w:rFonts w:cs="Arial"/>
          <w:sz w:val="24"/>
          <w:lang w:val="fr-CA"/>
        </w:rPr>
        <w:t xml:space="preserve"> personne nommée aux termes de l’article 37 de la Loi pour représenter le propriétaire des biens-fonds peut être interrogée ou contre-interrogée par une partie adverse au lieu du propriétaire. </w:t>
      </w:r>
    </w:p>
    <w:p w14:paraId="77EB3132" w14:textId="77777777" w:rsidR="00A51AE5" w:rsidRPr="001A6340" w:rsidRDefault="00A51AE5" w:rsidP="00A51AE5">
      <w:pPr>
        <w:rPr>
          <w:rFonts w:cs="Arial"/>
          <w:sz w:val="24"/>
          <w:lang w:val="fr-CA"/>
        </w:rPr>
      </w:pPr>
    </w:p>
    <w:p w14:paraId="18E3B983" w14:textId="29D33AAE" w:rsidR="00D01150" w:rsidRPr="001A6340" w:rsidRDefault="00A51AE5" w:rsidP="00A51AE5">
      <w:pPr>
        <w:rPr>
          <w:rFonts w:cs="Arial"/>
          <w:sz w:val="24"/>
          <w:lang w:val="fr-CA"/>
        </w:rPr>
      </w:pPr>
      <w:r w:rsidRPr="001A6340">
        <w:rPr>
          <w:rFonts w:cs="Arial"/>
          <w:b/>
          <w:bCs/>
          <w:sz w:val="24"/>
          <w:lang w:val="fr-CA"/>
        </w:rPr>
        <w:t>26.</w:t>
      </w:r>
      <w:r w:rsidR="00D01150" w:rsidRPr="001A6340">
        <w:rPr>
          <w:rFonts w:cs="Arial"/>
          <w:b/>
          <w:bCs/>
          <w:sz w:val="24"/>
          <w:lang w:val="fr-CA"/>
        </w:rPr>
        <w:t>21</w:t>
      </w:r>
      <w:r w:rsidRPr="001A6340">
        <w:rPr>
          <w:rFonts w:cs="Arial"/>
          <w:b/>
          <w:bCs/>
          <w:sz w:val="24"/>
          <w:lang w:val="fr-CA"/>
        </w:rPr>
        <w:tab/>
      </w:r>
      <w:r w:rsidR="00D01150" w:rsidRPr="001A6340">
        <w:rPr>
          <w:rFonts w:cs="Arial"/>
          <w:b/>
          <w:sz w:val="24"/>
          <w:u w:val="single"/>
          <w:lang w:val="fr-CA"/>
        </w:rPr>
        <w:t xml:space="preserve">Interrogatoires </w:t>
      </w:r>
      <w:proofErr w:type="gramStart"/>
      <w:r w:rsidR="00D01150" w:rsidRPr="001A6340">
        <w:rPr>
          <w:rFonts w:cs="Arial"/>
          <w:b/>
          <w:sz w:val="24"/>
          <w:u w:val="single"/>
          <w:lang w:val="fr-CA"/>
        </w:rPr>
        <w:t>préalables</w:t>
      </w:r>
      <w:r w:rsidRPr="001A6340">
        <w:rPr>
          <w:rFonts w:cs="Arial"/>
          <w:sz w:val="24"/>
          <w:lang w:val="fr-CA"/>
        </w:rPr>
        <w:t xml:space="preserve">  </w:t>
      </w:r>
      <w:r w:rsidR="002D4DD6" w:rsidRPr="001A6340">
        <w:rPr>
          <w:rFonts w:cs="Arial"/>
          <w:sz w:val="24"/>
          <w:lang w:val="fr-CA"/>
        </w:rPr>
        <w:t>Une</w:t>
      </w:r>
      <w:proofErr w:type="gramEnd"/>
      <w:r w:rsidR="002D4DD6" w:rsidRPr="001A6340">
        <w:rPr>
          <w:rFonts w:cs="Arial"/>
          <w:sz w:val="24"/>
          <w:lang w:val="fr-CA"/>
        </w:rPr>
        <w:t xml:space="preserve"> </w:t>
      </w:r>
      <w:r w:rsidRPr="001A6340">
        <w:rPr>
          <w:rFonts w:cs="Arial"/>
          <w:sz w:val="24"/>
          <w:lang w:val="fr-CA"/>
        </w:rPr>
        <w:t>ordonnance du Tribunal n’est</w:t>
      </w:r>
      <w:r w:rsidR="002D4DD6" w:rsidRPr="001A6340">
        <w:rPr>
          <w:rFonts w:cs="Arial"/>
          <w:sz w:val="24"/>
          <w:lang w:val="fr-CA"/>
        </w:rPr>
        <w:t xml:space="preserve"> pas</w:t>
      </w:r>
      <w:r w:rsidRPr="001A6340">
        <w:rPr>
          <w:rFonts w:cs="Arial"/>
          <w:sz w:val="24"/>
          <w:lang w:val="fr-CA"/>
        </w:rPr>
        <w:t xml:space="preserve"> exigée pour les interrogatoires préalables ou les documents. </w:t>
      </w:r>
      <w:r w:rsidR="00D01150" w:rsidRPr="001A6340">
        <w:rPr>
          <w:rFonts w:cs="Arial"/>
          <w:sz w:val="24"/>
          <w:lang w:val="fr-CA"/>
        </w:rPr>
        <w:t xml:space="preserve">Les rapports d’évaluation sur lesquels se fonderont l’une ou l’autre des parties doivent être signifiés au moins 15 jours avant les interrogatoires préalables, sauf ordonnance contraire du Tribunal. </w:t>
      </w:r>
      <w:r w:rsidRPr="001A6340">
        <w:rPr>
          <w:rFonts w:cs="Arial"/>
          <w:sz w:val="24"/>
          <w:lang w:val="fr-CA"/>
        </w:rPr>
        <w:t xml:space="preserve">Les </w:t>
      </w:r>
      <w:r w:rsidRPr="001A6340">
        <w:rPr>
          <w:rFonts w:cs="Arial"/>
          <w:i/>
          <w:iCs/>
          <w:sz w:val="24"/>
          <w:lang w:val="fr-CA"/>
        </w:rPr>
        <w:t>Règles de procédure civile</w:t>
      </w:r>
      <w:r w:rsidRPr="001A6340">
        <w:rPr>
          <w:rFonts w:cs="Arial"/>
          <w:sz w:val="24"/>
          <w:lang w:val="fr-CA"/>
        </w:rPr>
        <w:t xml:space="preserve"> s’appliquent aux </w:t>
      </w:r>
      <w:r w:rsidR="00D01150" w:rsidRPr="001A6340">
        <w:rPr>
          <w:rFonts w:cs="Arial"/>
          <w:sz w:val="24"/>
          <w:lang w:val="fr-CA"/>
        </w:rPr>
        <w:t xml:space="preserve">interrogatoires préalables. </w:t>
      </w:r>
    </w:p>
    <w:p w14:paraId="715381A4" w14:textId="77777777" w:rsidR="00D01150" w:rsidRPr="001A6340" w:rsidRDefault="00D01150" w:rsidP="00A51AE5">
      <w:pPr>
        <w:rPr>
          <w:rFonts w:cs="Arial"/>
          <w:sz w:val="24"/>
          <w:lang w:val="fr-CA"/>
        </w:rPr>
      </w:pPr>
    </w:p>
    <w:p w14:paraId="55C6AA84" w14:textId="77777777" w:rsidR="00A51AE5" w:rsidRPr="001A6340" w:rsidRDefault="00A51AE5" w:rsidP="00A51AE5">
      <w:pPr>
        <w:rPr>
          <w:rFonts w:cs="Arial"/>
          <w:sz w:val="24"/>
          <w:lang w:val="fr-CA"/>
        </w:rPr>
      </w:pPr>
    </w:p>
    <w:p w14:paraId="31487A7C" w14:textId="4C877A8F" w:rsidR="00D01150" w:rsidRPr="001A6340" w:rsidRDefault="00D01150" w:rsidP="00A51AE5">
      <w:pPr>
        <w:rPr>
          <w:rFonts w:cs="Arial"/>
          <w:b/>
          <w:bCs/>
          <w:sz w:val="24"/>
          <w:lang w:val="fr-CA"/>
        </w:rPr>
      </w:pPr>
      <w:r w:rsidRPr="001A6340">
        <w:rPr>
          <w:rFonts w:cs="Arial"/>
          <w:b/>
          <w:bCs/>
          <w:sz w:val="24"/>
          <w:lang w:val="fr-CA"/>
        </w:rPr>
        <w:t>Audiences</w:t>
      </w:r>
    </w:p>
    <w:p w14:paraId="41886A9C" w14:textId="2F001E41" w:rsidR="00A51AE5" w:rsidRPr="001A6340" w:rsidRDefault="00A51AE5" w:rsidP="00A51AE5">
      <w:pPr>
        <w:pStyle w:val="Heading3"/>
        <w:rPr>
          <w:sz w:val="24"/>
        </w:rPr>
      </w:pPr>
    </w:p>
    <w:p w14:paraId="296EC8A7" w14:textId="77777777" w:rsidR="00A51AE5" w:rsidRPr="001A6340" w:rsidRDefault="00A51AE5" w:rsidP="00A51AE5">
      <w:pPr>
        <w:rPr>
          <w:rFonts w:cs="Arial"/>
          <w:sz w:val="24"/>
          <w:lang w:val="fr-CA"/>
        </w:rPr>
      </w:pPr>
    </w:p>
    <w:p w14:paraId="1A146A50" w14:textId="162A2939" w:rsidR="00A51AE5" w:rsidRPr="001A6340" w:rsidRDefault="00A51AE5" w:rsidP="00A51AE5">
      <w:pPr>
        <w:rPr>
          <w:rFonts w:cs="Arial"/>
          <w:sz w:val="24"/>
          <w:lang w:val="fr-CA"/>
        </w:rPr>
      </w:pPr>
      <w:r w:rsidRPr="001A6340">
        <w:rPr>
          <w:rFonts w:cs="Arial"/>
          <w:b/>
          <w:bCs/>
          <w:sz w:val="24"/>
          <w:lang w:val="fr-CA"/>
        </w:rPr>
        <w:t>26.</w:t>
      </w:r>
      <w:r w:rsidR="00D01150" w:rsidRPr="001A6340">
        <w:rPr>
          <w:rFonts w:cs="Arial"/>
          <w:b/>
          <w:bCs/>
          <w:sz w:val="24"/>
          <w:lang w:val="fr-CA"/>
        </w:rPr>
        <w:t>22</w:t>
      </w:r>
      <w:r w:rsidRPr="001A6340">
        <w:rPr>
          <w:rFonts w:cs="Arial"/>
          <w:b/>
          <w:bCs/>
          <w:sz w:val="24"/>
          <w:lang w:val="fr-CA"/>
        </w:rPr>
        <w:tab/>
      </w:r>
      <w:r w:rsidRPr="001A6340">
        <w:rPr>
          <w:rFonts w:cs="Arial"/>
          <w:b/>
          <w:sz w:val="24"/>
          <w:u w:val="single"/>
          <w:lang w:val="fr-CA"/>
        </w:rPr>
        <w:t xml:space="preserve">Conférence de gestion de la </w:t>
      </w:r>
      <w:proofErr w:type="gramStart"/>
      <w:r w:rsidRPr="001A6340">
        <w:rPr>
          <w:rFonts w:cs="Arial"/>
          <w:b/>
          <w:sz w:val="24"/>
          <w:u w:val="single"/>
          <w:lang w:val="fr-CA"/>
        </w:rPr>
        <w:t>cause</w:t>
      </w:r>
      <w:r w:rsidRPr="001A6340">
        <w:rPr>
          <w:rFonts w:cs="Arial"/>
          <w:sz w:val="24"/>
          <w:lang w:val="fr-CA"/>
        </w:rPr>
        <w:t xml:space="preserve">  Le</w:t>
      </w:r>
      <w:proofErr w:type="gramEnd"/>
      <w:r w:rsidRPr="001A6340">
        <w:rPr>
          <w:rFonts w:cs="Arial"/>
          <w:sz w:val="24"/>
          <w:lang w:val="fr-CA"/>
        </w:rPr>
        <w:t xml:space="preserve"> Tribunal peut, de sa propre initiative </w:t>
      </w:r>
      <w:r w:rsidR="00D01150" w:rsidRPr="001A6340">
        <w:rPr>
          <w:rFonts w:cs="Arial"/>
          <w:sz w:val="24"/>
          <w:lang w:val="fr-CA"/>
        </w:rPr>
        <w:t>ou</w:t>
      </w:r>
      <w:r w:rsidRPr="001A6340">
        <w:rPr>
          <w:rFonts w:cs="Arial"/>
          <w:sz w:val="24"/>
          <w:lang w:val="fr-CA"/>
        </w:rPr>
        <w:t xml:space="preserve"> à la demande d</w:t>
      </w:r>
      <w:r w:rsidR="00D01150" w:rsidRPr="001A6340">
        <w:rPr>
          <w:rFonts w:cs="Arial"/>
          <w:sz w:val="24"/>
          <w:lang w:val="fr-CA"/>
        </w:rPr>
        <w:t>u requérant ou de l’intimé</w:t>
      </w:r>
      <w:r w:rsidRPr="001A6340">
        <w:rPr>
          <w:rFonts w:cs="Arial"/>
          <w:sz w:val="24"/>
          <w:lang w:val="fr-CA"/>
        </w:rPr>
        <w:t>, ordonner que les parties participent à une conférence de gestion de la cause. L</w:t>
      </w:r>
      <w:r w:rsidR="00D01150" w:rsidRPr="001A6340">
        <w:rPr>
          <w:rFonts w:cs="Arial"/>
          <w:sz w:val="24"/>
          <w:lang w:val="fr-CA"/>
        </w:rPr>
        <w:t xml:space="preserve">a règle 19 s’applique avec les modifications nécessaires. </w:t>
      </w:r>
    </w:p>
    <w:p w14:paraId="1C3F4905" w14:textId="77777777" w:rsidR="00A51AE5" w:rsidRPr="001A6340" w:rsidRDefault="00A51AE5" w:rsidP="00A51AE5">
      <w:pPr>
        <w:rPr>
          <w:rFonts w:cs="Arial"/>
          <w:sz w:val="24"/>
          <w:lang w:val="fr-CA"/>
        </w:rPr>
      </w:pPr>
    </w:p>
    <w:p w14:paraId="42E10302" w14:textId="034A51D0" w:rsidR="00A51AE5" w:rsidRPr="001A6340" w:rsidRDefault="00A51AE5" w:rsidP="00A51AE5">
      <w:pPr>
        <w:rPr>
          <w:rFonts w:cs="Arial"/>
          <w:sz w:val="24"/>
          <w:lang w:val="fr-CA"/>
        </w:rPr>
      </w:pPr>
      <w:r w:rsidRPr="001A6340">
        <w:rPr>
          <w:rFonts w:cs="Arial"/>
          <w:b/>
          <w:bCs/>
          <w:sz w:val="24"/>
          <w:lang w:val="fr-CA"/>
        </w:rPr>
        <w:t>26.</w:t>
      </w:r>
      <w:r w:rsidR="00D01150" w:rsidRPr="001A6340">
        <w:rPr>
          <w:rFonts w:cs="Arial"/>
          <w:b/>
          <w:bCs/>
          <w:sz w:val="24"/>
          <w:lang w:val="fr-CA"/>
        </w:rPr>
        <w:t>23</w:t>
      </w:r>
      <w:r w:rsidRPr="001A6340">
        <w:rPr>
          <w:rFonts w:cs="Arial"/>
          <w:b/>
          <w:bCs/>
          <w:sz w:val="24"/>
          <w:lang w:val="fr-CA"/>
        </w:rPr>
        <w:tab/>
      </w:r>
      <w:r w:rsidRPr="001A6340">
        <w:rPr>
          <w:rFonts w:cs="Arial"/>
          <w:b/>
          <w:sz w:val="24"/>
          <w:u w:val="single"/>
          <w:lang w:val="fr-CA"/>
        </w:rPr>
        <w:t xml:space="preserve">Date de </w:t>
      </w:r>
      <w:proofErr w:type="gramStart"/>
      <w:r w:rsidRPr="001A6340">
        <w:rPr>
          <w:rFonts w:cs="Arial"/>
          <w:b/>
          <w:sz w:val="24"/>
          <w:u w:val="single"/>
          <w:lang w:val="fr-CA"/>
        </w:rPr>
        <w:t>l’audience</w:t>
      </w:r>
      <w:r w:rsidRPr="001A6340">
        <w:rPr>
          <w:rFonts w:cs="Arial"/>
          <w:sz w:val="24"/>
          <w:lang w:val="fr-CA"/>
        </w:rPr>
        <w:t xml:space="preserve">  Le</w:t>
      </w:r>
      <w:proofErr w:type="gramEnd"/>
      <w:r w:rsidRPr="001A6340">
        <w:rPr>
          <w:rFonts w:cs="Arial"/>
          <w:sz w:val="24"/>
          <w:lang w:val="fr-CA"/>
        </w:rPr>
        <w:t xml:space="preserve"> Tribunal peut fixer une date pour l’audience d’arbitrage après réception de l’avis de mise en état en vue de l’audience signé par toutes les parties ou en leur nom; ou par ordonnance à l’issue d’une motion en personne ou électronique ou d’une conférence de gestion de la cause.</w:t>
      </w:r>
    </w:p>
    <w:p w14:paraId="4D3D346D" w14:textId="77777777" w:rsidR="00A51AE5" w:rsidRPr="001A6340" w:rsidRDefault="00A51AE5" w:rsidP="00A51AE5">
      <w:pPr>
        <w:rPr>
          <w:rFonts w:cs="Arial"/>
          <w:sz w:val="24"/>
          <w:lang w:val="fr-CA"/>
        </w:rPr>
      </w:pPr>
    </w:p>
    <w:p w14:paraId="40110520" w14:textId="5531472B" w:rsidR="00A51AE5" w:rsidRPr="001A6340" w:rsidRDefault="00A51AE5" w:rsidP="00A51AE5">
      <w:pPr>
        <w:rPr>
          <w:rFonts w:cs="Arial"/>
          <w:sz w:val="24"/>
          <w:lang w:val="fr-CA"/>
        </w:rPr>
      </w:pPr>
      <w:r w:rsidRPr="001A6340">
        <w:rPr>
          <w:rFonts w:cs="Arial"/>
          <w:b/>
          <w:bCs/>
          <w:sz w:val="24"/>
          <w:lang w:val="fr-CA"/>
        </w:rPr>
        <w:t>26.</w:t>
      </w:r>
      <w:r w:rsidR="00D01150" w:rsidRPr="001A6340">
        <w:rPr>
          <w:rFonts w:cs="Arial"/>
          <w:b/>
          <w:bCs/>
          <w:sz w:val="24"/>
          <w:lang w:val="fr-CA"/>
        </w:rPr>
        <w:t>24</w:t>
      </w:r>
      <w:r w:rsidRPr="001A6340">
        <w:rPr>
          <w:rFonts w:cs="Arial"/>
          <w:b/>
          <w:bCs/>
          <w:sz w:val="24"/>
          <w:lang w:val="fr-CA"/>
        </w:rPr>
        <w:tab/>
      </w:r>
      <w:r w:rsidRPr="001A6340">
        <w:rPr>
          <w:rFonts w:cs="Arial"/>
          <w:b/>
          <w:sz w:val="24"/>
          <w:u w:val="single"/>
          <w:lang w:val="fr-CA"/>
        </w:rPr>
        <w:t xml:space="preserve">Motions entendues </w:t>
      </w:r>
      <w:proofErr w:type="gramStart"/>
      <w:r w:rsidRPr="001A6340">
        <w:rPr>
          <w:rFonts w:cs="Arial"/>
          <w:b/>
          <w:sz w:val="24"/>
          <w:u w:val="single"/>
          <w:lang w:val="fr-CA"/>
        </w:rPr>
        <w:t>ailleurs</w:t>
      </w:r>
      <w:r w:rsidRPr="001A6340">
        <w:rPr>
          <w:rFonts w:cs="Arial"/>
          <w:sz w:val="24"/>
          <w:lang w:val="fr-CA"/>
        </w:rPr>
        <w:t xml:space="preserve">  Si</w:t>
      </w:r>
      <w:proofErr w:type="gramEnd"/>
      <w:r w:rsidRPr="001A6340">
        <w:rPr>
          <w:rFonts w:cs="Arial"/>
          <w:sz w:val="24"/>
          <w:lang w:val="fr-CA"/>
        </w:rPr>
        <w:t xml:space="preserve"> le propriétaire de biens-fonds situés à l’extérieur de la ville de Toronto y consent, des motions en personne peuvent être entendues dans </w:t>
      </w:r>
      <w:r w:rsidRPr="001A6340">
        <w:rPr>
          <w:rFonts w:cs="Arial"/>
          <w:sz w:val="24"/>
          <w:lang w:val="fr-CA"/>
        </w:rPr>
        <w:lastRenderedPageBreak/>
        <w:t>les bureaux du Tribunal à Toronto ou dans toute municipalité raisonnablement proche du lieu où sont situés les biens-fonds.</w:t>
      </w:r>
    </w:p>
    <w:p w14:paraId="67FE7A0F" w14:textId="77777777" w:rsidR="00A51AE5" w:rsidRPr="001A6340" w:rsidRDefault="00A51AE5" w:rsidP="00A51AE5">
      <w:pPr>
        <w:rPr>
          <w:rFonts w:cs="Arial"/>
          <w:sz w:val="24"/>
          <w:lang w:val="fr-CA"/>
        </w:rPr>
      </w:pPr>
    </w:p>
    <w:p w14:paraId="289D7EB2" w14:textId="5E8415B6" w:rsidR="00A51AE5" w:rsidRPr="001A6340" w:rsidRDefault="00A51AE5" w:rsidP="00A51AE5">
      <w:pPr>
        <w:rPr>
          <w:rFonts w:cs="Arial"/>
          <w:sz w:val="24"/>
          <w:lang w:val="fr-CA"/>
        </w:rPr>
      </w:pPr>
      <w:r w:rsidRPr="001A6340">
        <w:rPr>
          <w:rFonts w:cs="Arial"/>
          <w:b/>
          <w:bCs/>
          <w:sz w:val="24"/>
          <w:lang w:val="fr-CA"/>
        </w:rPr>
        <w:t>26.</w:t>
      </w:r>
      <w:r w:rsidR="00D01150" w:rsidRPr="001A6340">
        <w:rPr>
          <w:rFonts w:cs="Arial"/>
          <w:b/>
          <w:bCs/>
          <w:sz w:val="24"/>
          <w:lang w:val="fr-CA"/>
        </w:rPr>
        <w:t>25</w:t>
      </w:r>
      <w:r w:rsidRPr="001A6340">
        <w:rPr>
          <w:rFonts w:cs="Arial"/>
          <w:b/>
          <w:bCs/>
          <w:sz w:val="24"/>
          <w:lang w:val="fr-CA"/>
        </w:rPr>
        <w:tab/>
      </w:r>
      <w:r w:rsidRPr="001A6340">
        <w:rPr>
          <w:rFonts w:cs="Arial"/>
          <w:b/>
          <w:sz w:val="24"/>
          <w:u w:val="single"/>
          <w:lang w:val="fr-CA"/>
        </w:rPr>
        <w:t xml:space="preserve">Avis </w:t>
      </w:r>
      <w:proofErr w:type="gramStart"/>
      <w:r w:rsidRPr="001A6340">
        <w:rPr>
          <w:rFonts w:cs="Arial"/>
          <w:b/>
          <w:sz w:val="24"/>
          <w:u w:val="single"/>
          <w:lang w:val="fr-CA"/>
        </w:rPr>
        <w:t>d’audience</w:t>
      </w:r>
      <w:r w:rsidRPr="001A6340">
        <w:rPr>
          <w:rFonts w:cs="Arial"/>
          <w:sz w:val="24"/>
          <w:lang w:val="fr-CA"/>
        </w:rPr>
        <w:t xml:space="preserve">  Le</w:t>
      </w:r>
      <w:proofErr w:type="gramEnd"/>
      <w:r w:rsidRPr="001A6340">
        <w:rPr>
          <w:rFonts w:cs="Arial"/>
          <w:sz w:val="24"/>
          <w:lang w:val="fr-CA"/>
        </w:rPr>
        <w:t xml:space="preserve"> greffier du Tribunal envoie à l’intimé par courrier un avis de la date et du lieu de l’audience d’arbitrage.</w:t>
      </w:r>
    </w:p>
    <w:p w14:paraId="3D12460F" w14:textId="77777777" w:rsidR="00A51AE5" w:rsidRPr="001A6340" w:rsidRDefault="00A51AE5" w:rsidP="00A51AE5">
      <w:pPr>
        <w:rPr>
          <w:rFonts w:cs="Arial"/>
          <w:sz w:val="24"/>
          <w:lang w:val="fr-CA"/>
        </w:rPr>
      </w:pPr>
    </w:p>
    <w:p w14:paraId="01168DA9" w14:textId="0C41D6D7" w:rsidR="00A51AE5" w:rsidRPr="001A6340" w:rsidRDefault="00A51AE5" w:rsidP="00A51AE5">
      <w:pPr>
        <w:rPr>
          <w:rFonts w:cs="Arial"/>
          <w:sz w:val="24"/>
          <w:lang w:val="fr-CA"/>
        </w:rPr>
      </w:pPr>
      <w:r w:rsidRPr="001A6340">
        <w:rPr>
          <w:rFonts w:cs="Arial"/>
          <w:b/>
          <w:bCs/>
          <w:sz w:val="24"/>
          <w:lang w:val="fr-CA"/>
        </w:rPr>
        <w:t>26.</w:t>
      </w:r>
      <w:r w:rsidR="00D01150" w:rsidRPr="001A6340">
        <w:rPr>
          <w:rFonts w:cs="Arial"/>
          <w:b/>
          <w:bCs/>
          <w:sz w:val="24"/>
          <w:lang w:val="fr-CA"/>
        </w:rPr>
        <w:t>26</w:t>
      </w:r>
      <w:r w:rsidRPr="001A6340">
        <w:rPr>
          <w:rFonts w:cs="Arial"/>
          <w:sz w:val="24"/>
          <w:lang w:val="fr-CA"/>
        </w:rPr>
        <w:tab/>
      </w:r>
      <w:r w:rsidRPr="001A6340">
        <w:rPr>
          <w:rFonts w:cs="Arial"/>
          <w:b/>
          <w:sz w:val="24"/>
          <w:u w:val="single"/>
          <w:lang w:val="fr-CA"/>
        </w:rPr>
        <w:t xml:space="preserve">Sténographe </w:t>
      </w:r>
      <w:proofErr w:type="gramStart"/>
      <w:r w:rsidRPr="001A6340">
        <w:rPr>
          <w:rFonts w:cs="Arial"/>
          <w:b/>
          <w:sz w:val="24"/>
          <w:u w:val="single"/>
          <w:lang w:val="fr-CA"/>
        </w:rPr>
        <w:t>judiciaire</w:t>
      </w:r>
      <w:r w:rsidRPr="001A6340">
        <w:rPr>
          <w:rFonts w:cs="Arial"/>
          <w:sz w:val="24"/>
          <w:lang w:val="fr-CA"/>
        </w:rPr>
        <w:t xml:space="preserve">  L'autorité</w:t>
      </w:r>
      <w:proofErr w:type="gramEnd"/>
      <w:r w:rsidRPr="001A6340">
        <w:rPr>
          <w:rFonts w:cs="Arial"/>
          <w:sz w:val="24"/>
          <w:lang w:val="fr-CA"/>
        </w:rPr>
        <w:t xml:space="preserve"> expropriante prend les dispositions nécessaires, à ses frais, pour assurer la présence d'un sténographe judiciaire qualifié chargé de consigner par écrit les témoignages oraux produits devant le Tribunal.</w:t>
      </w:r>
    </w:p>
    <w:p w14:paraId="59454890" w14:textId="77777777" w:rsidR="00A51AE5" w:rsidRPr="001A6340" w:rsidRDefault="00A51AE5" w:rsidP="00A51AE5">
      <w:pPr>
        <w:rPr>
          <w:rFonts w:cs="Arial"/>
          <w:sz w:val="24"/>
          <w:lang w:val="fr-CA"/>
        </w:rPr>
      </w:pPr>
    </w:p>
    <w:p w14:paraId="51FD90AF" w14:textId="54DBA2E9" w:rsidR="00A51AE5" w:rsidRPr="001A6340" w:rsidRDefault="00A51AE5" w:rsidP="00A51AE5">
      <w:pPr>
        <w:rPr>
          <w:rFonts w:cs="Arial"/>
          <w:sz w:val="24"/>
          <w:lang w:val="fr-CA"/>
        </w:rPr>
      </w:pPr>
      <w:r w:rsidRPr="001A6340">
        <w:rPr>
          <w:rFonts w:cs="Arial"/>
          <w:b/>
          <w:bCs/>
          <w:sz w:val="24"/>
          <w:lang w:val="fr-CA"/>
        </w:rPr>
        <w:t>26.</w:t>
      </w:r>
      <w:r w:rsidR="00D01150" w:rsidRPr="001A6340">
        <w:rPr>
          <w:rFonts w:cs="Arial"/>
          <w:b/>
          <w:bCs/>
          <w:sz w:val="24"/>
          <w:lang w:val="fr-CA"/>
        </w:rPr>
        <w:t>27</w:t>
      </w:r>
      <w:r w:rsidRPr="001A6340">
        <w:rPr>
          <w:rFonts w:cs="Arial"/>
          <w:b/>
          <w:bCs/>
          <w:sz w:val="24"/>
          <w:lang w:val="fr-CA"/>
        </w:rPr>
        <w:tab/>
      </w:r>
      <w:r w:rsidRPr="001A6340">
        <w:rPr>
          <w:rFonts w:cs="Arial"/>
          <w:b/>
          <w:sz w:val="24"/>
          <w:u w:val="single"/>
          <w:lang w:val="fr-CA"/>
        </w:rPr>
        <w:t xml:space="preserve">Signification de l’avis </w:t>
      </w:r>
      <w:proofErr w:type="gramStart"/>
      <w:r w:rsidRPr="001A6340">
        <w:rPr>
          <w:rFonts w:cs="Arial"/>
          <w:b/>
          <w:sz w:val="24"/>
          <w:u w:val="single"/>
          <w:lang w:val="fr-CA"/>
        </w:rPr>
        <w:t>d’audience</w:t>
      </w:r>
      <w:r w:rsidRPr="001A6340">
        <w:rPr>
          <w:rFonts w:cs="Arial"/>
          <w:sz w:val="24"/>
          <w:lang w:val="fr-CA"/>
        </w:rPr>
        <w:t xml:space="preserve">  Sur</w:t>
      </w:r>
      <w:proofErr w:type="gramEnd"/>
      <w:r w:rsidRPr="001A6340">
        <w:rPr>
          <w:rFonts w:cs="Arial"/>
          <w:sz w:val="24"/>
          <w:lang w:val="fr-CA"/>
        </w:rPr>
        <w:t xml:space="preserve"> réception de l’avis d’audience, l’intimé signifie, au moins 20 jours avant l’audience, une copie de l’avis d’audience à tous les propriétaires enregistrés et à toute personne que l’intimé sait être un propriétaire au sens de la Loi ou qui invoque un droit à une partie de l’indemnité qui pourrait être accordée à l’issue de l’arbitrage aux termes de la Loi.</w:t>
      </w:r>
    </w:p>
    <w:p w14:paraId="07A45CC0" w14:textId="77777777" w:rsidR="00A51AE5" w:rsidRPr="001A6340" w:rsidRDefault="00A51AE5" w:rsidP="00A51AE5">
      <w:pPr>
        <w:rPr>
          <w:rFonts w:cs="Arial"/>
          <w:sz w:val="24"/>
          <w:lang w:val="fr-CA"/>
        </w:rPr>
      </w:pPr>
    </w:p>
    <w:p w14:paraId="1AE70CD5" w14:textId="77777777" w:rsidR="00A51AE5" w:rsidRPr="001A6340" w:rsidRDefault="00A51AE5" w:rsidP="00A51AE5">
      <w:pPr>
        <w:rPr>
          <w:rFonts w:cs="Arial"/>
          <w:sz w:val="24"/>
          <w:lang w:val="fr-CA"/>
        </w:rPr>
      </w:pPr>
    </w:p>
    <w:p w14:paraId="2CE41AA0" w14:textId="60122381" w:rsidR="00A51AE5" w:rsidRPr="001A6340" w:rsidRDefault="00A51AE5" w:rsidP="00A51AE5">
      <w:pPr>
        <w:rPr>
          <w:rFonts w:cs="Arial"/>
          <w:sz w:val="24"/>
          <w:lang w:val="fr-CA"/>
        </w:rPr>
      </w:pPr>
      <w:r w:rsidRPr="001A6340">
        <w:rPr>
          <w:rFonts w:cs="Arial"/>
          <w:b/>
          <w:bCs/>
          <w:sz w:val="24"/>
          <w:lang w:val="fr-CA"/>
        </w:rPr>
        <w:t>26.</w:t>
      </w:r>
      <w:r w:rsidR="00D01150" w:rsidRPr="001A6340">
        <w:rPr>
          <w:rFonts w:cs="Arial"/>
          <w:b/>
          <w:bCs/>
          <w:sz w:val="24"/>
          <w:lang w:val="fr-CA"/>
        </w:rPr>
        <w:t>28</w:t>
      </w:r>
      <w:r w:rsidRPr="001A6340">
        <w:rPr>
          <w:rFonts w:cs="Arial"/>
          <w:b/>
          <w:bCs/>
          <w:sz w:val="24"/>
          <w:lang w:val="fr-CA"/>
        </w:rPr>
        <w:tab/>
      </w:r>
      <w:r w:rsidRPr="001A6340">
        <w:rPr>
          <w:rFonts w:cs="Arial"/>
          <w:b/>
          <w:sz w:val="24"/>
          <w:u w:val="single"/>
          <w:lang w:val="fr-CA"/>
        </w:rPr>
        <w:t>Dépôt des documents</w:t>
      </w:r>
      <w:r w:rsidRPr="001A6340">
        <w:rPr>
          <w:rFonts w:cs="Arial"/>
          <w:sz w:val="24"/>
          <w:lang w:val="fr-CA"/>
        </w:rPr>
        <w:t xml:space="preserve">  Au début d’une audience visant à établir une indemnité, l’intimé dépose une copie du certificat d’approbation d’un projet d’expropriation aux termes de la Loi, le plan des biens-fonds expropriés et une preuve de leur enregistrement conformément à l’article 9 de la Loi, le cas échéant, et un affidavit prouvant la signification de l’avis d’audience aux termes de la règle 26.</w:t>
      </w:r>
      <w:r w:rsidR="00D01150" w:rsidRPr="001A6340">
        <w:rPr>
          <w:rFonts w:cs="Arial"/>
          <w:sz w:val="24"/>
          <w:lang w:val="fr-CA"/>
        </w:rPr>
        <w:t xml:space="preserve">27 </w:t>
      </w:r>
      <w:r w:rsidRPr="001A6340">
        <w:rPr>
          <w:rFonts w:cs="Arial"/>
          <w:sz w:val="24"/>
          <w:lang w:val="fr-CA"/>
        </w:rPr>
        <w:t>et prouvant que les personnes à qui l’avis a été signifié sont toutes les personnes à qui il devait être signifié.</w:t>
      </w:r>
    </w:p>
    <w:p w14:paraId="45DE3E65" w14:textId="77777777" w:rsidR="00A51AE5" w:rsidRPr="001A6340" w:rsidRDefault="00A51AE5" w:rsidP="00A51AE5">
      <w:pPr>
        <w:rPr>
          <w:rFonts w:cs="Arial"/>
          <w:sz w:val="24"/>
          <w:lang w:val="fr-CA"/>
        </w:rPr>
      </w:pPr>
    </w:p>
    <w:p w14:paraId="7938A2AA" w14:textId="01D31A64" w:rsidR="00D01150" w:rsidRPr="001A6340" w:rsidRDefault="00D01150" w:rsidP="00A51AE5">
      <w:pPr>
        <w:rPr>
          <w:rFonts w:cs="Arial"/>
          <w:b/>
          <w:bCs/>
          <w:sz w:val="24"/>
          <w:lang w:val="fr-CA"/>
        </w:rPr>
      </w:pPr>
      <w:r w:rsidRPr="001A6340">
        <w:rPr>
          <w:rFonts w:cs="Arial"/>
          <w:b/>
          <w:bCs/>
          <w:sz w:val="24"/>
          <w:lang w:val="fr-CA"/>
        </w:rPr>
        <w:t>Règlement</w:t>
      </w:r>
    </w:p>
    <w:p w14:paraId="4624003F" w14:textId="77777777" w:rsidR="00D01150" w:rsidRPr="001A6340" w:rsidRDefault="00D01150" w:rsidP="00A51AE5">
      <w:pPr>
        <w:rPr>
          <w:rFonts w:cs="Arial"/>
          <w:b/>
          <w:bCs/>
          <w:sz w:val="24"/>
          <w:lang w:val="fr-CA"/>
        </w:rPr>
      </w:pPr>
    </w:p>
    <w:p w14:paraId="7A0C9376" w14:textId="32E8EA33" w:rsidR="00A51AE5" w:rsidRPr="001A6340" w:rsidRDefault="00A51AE5" w:rsidP="00A51AE5">
      <w:pPr>
        <w:rPr>
          <w:rFonts w:cs="Arial"/>
          <w:sz w:val="24"/>
          <w:lang w:val="fr-CA"/>
        </w:rPr>
      </w:pPr>
      <w:r w:rsidRPr="001A6340">
        <w:rPr>
          <w:rFonts w:cs="Arial"/>
          <w:b/>
          <w:bCs/>
          <w:sz w:val="24"/>
          <w:lang w:val="fr-CA"/>
        </w:rPr>
        <w:t>26.</w:t>
      </w:r>
      <w:r w:rsidR="00D01150" w:rsidRPr="001A6340">
        <w:rPr>
          <w:rFonts w:cs="Arial"/>
          <w:b/>
          <w:bCs/>
          <w:sz w:val="24"/>
          <w:lang w:val="fr-CA"/>
        </w:rPr>
        <w:t>29</w:t>
      </w:r>
      <w:r w:rsidRPr="001A6340">
        <w:rPr>
          <w:rFonts w:cs="Arial"/>
          <w:b/>
          <w:bCs/>
          <w:sz w:val="24"/>
          <w:lang w:val="fr-CA"/>
        </w:rPr>
        <w:tab/>
      </w:r>
      <w:r w:rsidRPr="001A6340">
        <w:rPr>
          <w:rFonts w:cs="Arial"/>
          <w:b/>
          <w:sz w:val="24"/>
          <w:u w:val="single"/>
          <w:lang w:val="fr-CA"/>
        </w:rPr>
        <w:t xml:space="preserve">Offre de </w:t>
      </w:r>
      <w:proofErr w:type="gramStart"/>
      <w:r w:rsidRPr="001A6340">
        <w:rPr>
          <w:rFonts w:cs="Arial"/>
          <w:b/>
          <w:sz w:val="24"/>
          <w:u w:val="single"/>
          <w:lang w:val="fr-CA"/>
        </w:rPr>
        <w:t>règlement</w:t>
      </w:r>
      <w:r w:rsidRPr="001A6340">
        <w:rPr>
          <w:rFonts w:cs="Arial"/>
          <w:sz w:val="24"/>
          <w:lang w:val="fr-CA"/>
        </w:rPr>
        <w:t xml:space="preserve">  Si</w:t>
      </w:r>
      <w:proofErr w:type="gramEnd"/>
      <w:r w:rsidRPr="001A6340">
        <w:rPr>
          <w:rFonts w:cs="Arial"/>
          <w:sz w:val="24"/>
          <w:lang w:val="fr-CA"/>
        </w:rPr>
        <w:t xml:space="preserve"> une offre de règlement est faite et que la Loi ne prévoit rien à cet égard, les </w:t>
      </w:r>
      <w:r w:rsidRPr="001A6340">
        <w:rPr>
          <w:rFonts w:cs="Arial"/>
          <w:i/>
          <w:sz w:val="24"/>
          <w:lang w:val="fr-CA"/>
        </w:rPr>
        <w:t>Règles de procédure civile</w:t>
      </w:r>
      <w:r w:rsidRPr="001A6340">
        <w:rPr>
          <w:rFonts w:cs="Arial"/>
          <w:sz w:val="24"/>
          <w:lang w:val="fr-CA"/>
        </w:rPr>
        <w:t xml:space="preserve"> s’appliquent.</w:t>
      </w:r>
    </w:p>
    <w:p w14:paraId="4F820FDA" w14:textId="77777777" w:rsidR="00A51AE5" w:rsidRPr="001A6340" w:rsidRDefault="00A51AE5" w:rsidP="00A51AE5">
      <w:pPr>
        <w:rPr>
          <w:rFonts w:cs="Arial"/>
          <w:sz w:val="24"/>
          <w:lang w:val="fr-CA"/>
        </w:rPr>
      </w:pPr>
    </w:p>
    <w:p w14:paraId="5DDCD615" w14:textId="77777777" w:rsidR="00A51AE5" w:rsidRPr="001A6340" w:rsidRDefault="00A51AE5" w:rsidP="00A51AE5">
      <w:pPr>
        <w:rPr>
          <w:rFonts w:cs="Arial"/>
          <w:sz w:val="24"/>
          <w:lang w:val="fr-CA"/>
        </w:rPr>
      </w:pPr>
    </w:p>
    <w:p w14:paraId="04B9D1C5" w14:textId="0DB89BF4" w:rsidR="00B55E88" w:rsidRPr="001A6340" w:rsidRDefault="00B55E88" w:rsidP="00A51AE5">
      <w:pPr>
        <w:rPr>
          <w:rFonts w:cs="Arial"/>
          <w:sz w:val="24"/>
          <w:lang w:val="fr-CA"/>
        </w:rPr>
      </w:pPr>
      <w:r w:rsidRPr="001A6340">
        <w:rPr>
          <w:rFonts w:cs="Arial"/>
          <w:b/>
          <w:bCs/>
          <w:sz w:val="24"/>
          <w:lang w:val="fr-CA"/>
        </w:rPr>
        <w:t xml:space="preserve">26.30 </w:t>
      </w:r>
      <w:r w:rsidRPr="001A6340">
        <w:rPr>
          <w:rFonts w:cs="Arial"/>
          <w:b/>
          <w:bCs/>
          <w:sz w:val="24"/>
          <w:lang w:val="fr-CA"/>
        </w:rPr>
        <w:tab/>
        <w:t xml:space="preserve">Acceptation de l’offre de règlement </w:t>
      </w:r>
      <w:r w:rsidRPr="001A6340">
        <w:rPr>
          <w:rFonts w:cs="Arial"/>
          <w:sz w:val="24"/>
          <w:lang w:val="fr-CA"/>
        </w:rPr>
        <w:t>Les parties</w:t>
      </w:r>
      <w:r w:rsidRPr="001A6340">
        <w:rPr>
          <w:rFonts w:cs="Arial"/>
          <w:b/>
          <w:bCs/>
          <w:sz w:val="24"/>
          <w:lang w:val="fr-CA"/>
        </w:rPr>
        <w:t xml:space="preserve"> </w:t>
      </w:r>
      <w:r w:rsidRPr="001A6340">
        <w:rPr>
          <w:rFonts w:cs="Arial"/>
          <w:sz w:val="24"/>
          <w:lang w:val="fr-CA"/>
        </w:rPr>
        <w:t xml:space="preserve">avisent le Tribunal par écrit, dans les 30 jours qui suivent l’acceptation de l’offre de règlement du requérant par l’intimé. Après le versement de l’indemnité prévue par le règlement et sous réserve de la fixation des dépens et intérêts en vertu de la Loi, l’arbitrage devant le Tribunal est clos sous réserve de toute directive ou ordonnance contraire du Tribunal. </w:t>
      </w:r>
    </w:p>
    <w:p w14:paraId="30D91225" w14:textId="77777777" w:rsidR="00B55E88" w:rsidRPr="001A6340" w:rsidRDefault="00B55E88" w:rsidP="00A51AE5">
      <w:pPr>
        <w:rPr>
          <w:rFonts w:cs="Arial"/>
          <w:sz w:val="24"/>
          <w:lang w:val="fr-CA"/>
        </w:rPr>
      </w:pPr>
    </w:p>
    <w:p w14:paraId="6B921DD7" w14:textId="30584917" w:rsidR="00B55E88" w:rsidRPr="001A6340" w:rsidRDefault="00B55E88" w:rsidP="00A51AE5">
      <w:pPr>
        <w:rPr>
          <w:rFonts w:cs="Arial"/>
          <w:b/>
          <w:bCs/>
          <w:sz w:val="24"/>
          <w:lang w:val="fr-CA"/>
        </w:rPr>
      </w:pPr>
      <w:r w:rsidRPr="001A6340">
        <w:rPr>
          <w:rFonts w:cs="Arial"/>
          <w:b/>
          <w:bCs/>
          <w:sz w:val="24"/>
          <w:lang w:val="fr-CA"/>
        </w:rPr>
        <w:t>Ordonnance d’expropriation</w:t>
      </w:r>
    </w:p>
    <w:p w14:paraId="05F08E83" w14:textId="77777777" w:rsidR="00B55E88" w:rsidRPr="001A6340" w:rsidRDefault="00B55E88" w:rsidP="00A51AE5">
      <w:pPr>
        <w:rPr>
          <w:rFonts w:cs="Arial"/>
          <w:sz w:val="24"/>
          <w:lang w:val="fr-CA"/>
        </w:rPr>
      </w:pPr>
    </w:p>
    <w:p w14:paraId="59535873" w14:textId="51FD8F55" w:rsidR="00997DD8" w:rsidRPr="001A6340" w:rsidRDefault="00A51AE5" w:rsidP="00F61F85">
      <w:pPr>
        <w:rPr>
          <w:sz w:val="24"/>
          <w:lang w:val="fr-FR"/>
        </w:rPr>
      </w:pPr>
      <w:r w:rsidRPr="001A6340">
        <w:rPr>
          <w:rFonts w:cs="Arial"/>
          <w:b/>
          <w:sz w:val="24"/>
          <w:lang w:val="fr-CA"/>
        </w:rPr>
        <w:t>26.</w:t>
      </w:r>
      <w:r w:rsidR="00B55E88" w:rsidRPr="001A6340">
        <w:rPr>
          <w:rFonts w:cs="Arial"/>
          <w:b/>
          <w:sz w:val="24"/>
          <w:lang w:val="fr-CA"/>
        </w:rPr>
        <w:t>31</w:t>
      </w:r>
      <w:r w:rsidRPr="001A6340">
        <w:rPr>
          <w:rFonts w:cs="Arial"/>
          <w:sz w:val="24"/>
          <w:lang w:val="fr-CA"/>
        </w:rPr>
        <w:tab/>
      </w:r>
      <w:r w:rsidRPr="001A6340">
        <w:rPr>
          <w:rFonts w:cs="Arial"/>
          <w:b/>
          <w:sz w:val="24"/>
          <w:u w:val="single"/>
          <w:lang w:val="fr-CA"/>
        </w:rPr>
        <w:t xml:space="preserve">Formulaire d’ordonnance </w:t>
      </w:r>
      <w:proofErr w:type="gramStart"/>
      <w:r w:rsidRPr="001A6340">
        <w:rPr>
          <w:rFonts w:cs="Arial"/>
          <w:b/>
          <w:sz w:val="24"/>
          <w:u w:val="single"/>
          <w:lang w:val="fr-CA"/>
        </w:rPr>
        <w:t>d’expropriation</w:t>
      </w:r>
      <w:r w:rsidRPr="001A6340">
        <w:rPr>
          <w:rFonts w:cs="Arial"/>
          <w:sz w:val="24"/>
          <w:lang w:val="fr-CA"/>
        </w:rPr>
        <w:t xml:space="preserve">  </w:t>
      </w:r>
      <w:r w:rsidRPr="001A6340">
        <w:rPr>
          <w:rFonts w:cs="Arial"/>
          <w:bCs/>
          <w:sz w:val="24"/>
          <w:lang w:val="fr-CA"/>
        </w:rPr>
        <w:t>Une</w:t>
      </w:r>
      <w:proofErr w:type="gramEnd"/>
      <w:r w:rsidRPr="001A6340">
        <w:rPr>
          <w:rFonts w:cs="Arial"/>
          <w:bCs/>
          <w:sz w:val="24"/>
          <w:lang w:val="fr-CA"/>
        </w:rPr>
        <w:t xml:space="preserve"> ordonnance rendue en application de la présente partie est rédigée sous la forme d’une ordonnance rendue en application du Règlement </w:t>
      </w:r>
      <w:r w:rsidRPr="001A6340">
        <w:rPr>
          <w:rFonts w:cs="Arial"/>
          <w:bCs/>
          <w:caps/>
          <w:sz w:val="24"/>
          <w:lang w:val="fr-CA"/>
        </w:rPr>
        <w:t xml:space="preserve">363, </w:t>
      </w:r>
      <w:r w:rsidRPr="001A6340">
        <w:rPr>
          <w:rFonts w:cs="Arial"/>
          <w:bCs/>
          <w:sz w:val="24"/>
          <w:lang w:val="fr-CA"/>
        </w:rPr>
        <w:t>R.R.O. 1990.</w:t>
      </w:r>
    </w:p>
    <w:sectPr w:rsidR="00997DD8" w:rsidRPr="001A634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EE028" w14:textId="77777777" w:rsidR="00F74357" w:rsidRDefault="00F74357" w:rsidP="00F72078">
      <w:r>
        <w:separator/>
      </w:r>
    </w:p>
  </w:endnote>
  <w:endnote w:type="continuationSeparator" w:id="0">
    <w:p w14:paraId="0DD9EAD8" w14:textId="77777777" w:rsidR="00F74357" w:rsidRDefault="00F74357"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E3CD5" w14:textId="77777777" w:rsidR="00F72078" w:rsidRDefault="00F72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8A9E2" w14:textId="77777777" w:rsidR="00F72078" w:rsidRDefault="00F7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F576B" w14:textId="77777777"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2C610" w14:textId="77777777" w:rsidR="00F74357" w:rsidRDefault="00F74357" w:rsidP="00F72078">
      <w:r>
        <w:separator/>
      </w:r>
    </w:p>
  </w:footnote>
  <w:footnote w:type="continuationSeparator" w:id="0">
    <w:p w14:paraId="411E7EFE" w14:textId="77777777" w:rsidR="00F74357" w:rsidRDefault="00F74357" w:rsidP="00F720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C7920" w14:textId="77777777" w:rsidR="00F72078" w:rsidRDefault="00F72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0C15D" w14:textId="77777777" w:rsidR="00F72078" w:rsidRDefault="00F72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5E265" w14:textId="77777777" w:rsidR="00F72078" w:rsidRDefault="00F72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1B8C"/>
    <w:multiLevelType w:val="hybridMultilevel"/>
    <w:tmpl w:val="1FCC4266"/>
    <w:lvl w:ilvl="0" w:tplc="FFFFFFFF">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1CAC27D5"/>
    <w:multiLevelType w:val="hybridMultilevel"/>
    <w:tmpl w:val="8502429E"/>
    <w:lvl w:ilvl="0" w:tplc="FFFFFFFF">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29294BA6"/>
    <w:multiLevelType w:val="hybridMultilevel"/>
    <w:tmpl w:val="CAE0A720"/>
    <w:lvl w:ilvl="0" w:tplc="FFFFFFFF">
      <w:start w:val="1"/>
      <w:numFmt w:val="lowerLetter"/>
      <w:lvlText w:val="(%1)"/>
      <w:lvlJc w:val="left"/>
      <w:pPr>
        <w:ind w:left="360" w:hanging="360"/>
      </w:pPr>
      <w:rPr>
        <w:rFonts w:hint="default"/>
      </w:rPr>
    </w:lvl>
    <w:lvl w:ilvl="1" w:tplc="1009001B">
      <w:start w:val="1"/>
      <w:numFmt w:val="lowerRoman"/>
      <w:lvlText w:val="%2."/>
      <w:lvlJc w:val="right"/>
      <w:pPr>
        <w:ind w:left="1080" w:hanging="360"/>
      </w:pPr>
    </w:lvl>
    <w:lvl w:ilvl="2" w:tplc="544A30EE">
      <w:start w:val="1"/>
      <w:numFmt w:val="lowerLetter"/>
      <w:lvlText w:val="%3)"/>
      <w:lvlJc w:val="left"/>
      <w:pPr>
        <w:ind w:left="1980" w:hanging="360"/>
      </w:pPr>
      <w:rPr>
        <w:rFonts w:hint="default"/>
      </w:r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E5"/>
    <w:rsid w:val="000A0119"/>
    <w:rsid w:val="001A5AC7"/>
    <w:rsid w:val="001A6340"/>
    <w:rsid w:val="001C37B4"/>
    <w:rsid w:val="001F129E"/>
    <w:rsid w:val="00225BE4"/>
    <w:rsid w:val="002D4DD6"/>
    <w:rsid w:val="002E6FF6"/>
    <w:rsid w:val="00317F1F"/>
    <w:rsid w:val="0036413B"/>
    <w:rsid w:val="00404C1A"/>
    <w:rsid w:val="00434D98"/>
    <w:rsid w:val="00487378"/>
    <w:rsid w:val="004A2238"/>
    <w:rsid w:val="004A392D"/>
    <w:rsid w:val="004B347D"/>
    <w:rsid w:val="004B69F7"/>
    <w:rsid w:val="004C4B88"/>
    <w:rsid w:val="004F1B03"/>
    <w:rsid w:val="004F20C3"/>
    <w:rsid w:val="005626C8"/>
    <w:rsid w:val="0057735C"/>
    <w:rsid w:val="00624B02"/>
    <w:rsid w:val="0067349A"/>
    <w:rsid w:val="00695E04"/>
    <w:rsid w:val="006C7751"/>
    <w:rsid w:val="006D72AA"/>
    <w:rsid w:val="00767151"/>
    <w:rsid w:val="007707B1"/>
    <w:rsid w:val="007833F8"/>
    <w:rsid w:val="00786B25"/>
    <w:rsid w:val="00794C32"/>
    <w:rsid w:val="007D6DDD"/>
    <w:rsid w:val="009B1D63"/>
    <w:rsid w:val="009B65DE"/>
    <w:rsid w:val="00A4736E"/>
    <w:rsid w:val="00A51AE5"/>
    <w:rsid w:val="00A963FC"/>
    <w:rsid w:val="00AD71CE"/>
    <w:rsid w:val="00B55E88"/>
    <w:rsid w:val="00B93223"/>
    <w:rsid w:val="00BE252E"/>
    <w:rsid w:val="00C00478"/>
    <w:rsid w:val="00C029AC"/>
    <w:rsid w:val="00C442F5"/>
    <w:rsid w:val="00C93AB7"/>
    <w:rsid w:val="00CC034D"/>
    <w:rsid w:val="00D01150"/>
    <w:rsid w:val="00D83F89"/>
    <w:rsid w:val="00E245D9"/>
    <w:rsid w:val="00E81EA2"/>
    <w:rsid w:val="00F17B57"/>
    <w:rsid w:val="00F61F85"/>
    <w:rsid w:val="00F72078"/>
    <w:rsid w:val="00F74357"/>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8E27F"/>
  <w15:chartTrackingRefBased/>
  <w15:docId w15:val="{68322C19-C27D-4854-84D8-F0318BDF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AE5"/>
    <w:pPr>
      <w:spacing w:after="0" w:line="240" w:lineRule="auto"/>
    </w:pPr>
    <w:rPr>
      <w:rFonts w:ascii="Arial" w:eastAsia="Times New Roman" w:hAnsi="Arial" w:cs="Times New Roman"/>
      <w:szCs w:val="24"/>
    </w:rPr>
  </w:style>
  <w:style w:type="paragraph" w:styleId="Heading1">
    <w:name w:val="heading 1"/>
    <w:basedOn w:val="Normal"/>
    <w:next w:val="Normal"/>
    <w:link w:val="Heading1Char"/>
    <w:qFormat/>
    <w:rsid w:val="004A392D"/>
    <w:p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nhideWhenUsed/>
    <w:qFormat/>
    <w:rsid w:val="004A392D"/>
    <w:p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nhideWhenUsed/>
    <w:qFormat/>
    <w:rsid w:val="004A392D"/>
    <w:pPr>
      <w:spacing w:before="20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styleId="Revision">
    <w:name w:val="Revision"/>
    <w:hidden/>
    <w:uiPriority w:val="99"/>
    <w:semiHidden/>
    <w:rsid w:val="004C4B88"/>
    <w:pPr>
      <w:spacing w:after="0" w:line="240" w:lineRule="auto"/>
    </w:pPr>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F55A2-72B5-4E24-A07C-DBE74383A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1817</Words>
  <Characters>10359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Bustamante, Andres (MAG)</dc:creator>
  <cp:keywords/>
  <dc:description/>
  <cp:lastModifiedBy>Doncel, Eduardo (MAG)</cp:lastModifiedBy>
  <cp:revision>7</cp:revision>
  <dcterms:created xsi:type="dcterms:W3CDTF">2023-07-17T12:13:00Z</dcterms:created>
  <dcterms:modified xsi:type="dcterms:W3CDTF">2023-07-17T14:40:00Z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2023-07-12T19:36:23Z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17688de6-d1b7-4fbd-8da1-00d88d543fc5</vt:lpwstr>
  </property>
  <property fmtid="{D5CDD505-2E9C-101B-9397-08002B2CF9AE}" pid="8" name="MSIP_Label_034a106e-6316-442c-ad35-738afd673d2b_ContentBits">
    <vt:lpwstr>0</vt:lpwstr>
  </property>
</Properties>
</file>